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温州市龙湾区永中单元A-19 区块(东欣华庭)6幢、9幢及D-06区块(臻鸿华庭)1、2幢201室两宗房产五年租赁权竞价文件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2025年4月28日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温州市龙湾区永中单元A-19 区块(东欣华庭)6幢、9幢及D-06区块(臻鸿华庭)1、2幢201室两宗房产五年租赁权竞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eastAsia="zh-CN"/>
        </w:rPr>
        <w:t>5月</w:t>
      </w:r>
      <w:r>
        <w:rPr>
          <w:rFonts w:hint="eastAsia" w:ascii="宋体" w:hAnsi="宋体"/>
          <w:color w:val="auto"/>
          <w:sz w:val="24"/>
          <w:szCs w:val="24"/>
          <w:u w:val="none"/>
          <w:lang w:val="en-US" w:eastAsia="zh-CN"/>
        </w:rPr>
        <w:t>8</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2025年5月9日上午10</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eastAsia="宋体" w:cs="宋体"/>
          <w:color w:val="000000" w:themeColor="text1"/>
          <w:sz w:val="24"/>
          <w:szCs w:val="24"/>
          <w:u w:val="none"/>
          <w:lang w:val="en-US" w:eastAsia="zh-CN"/>
          <w14:textFill>
            <w14:solidFill>
              <w14:schemeClr w14:val="tx1"/>
            </w14:solidFill>
          </w14:textFill>
        </w:rPr>
        <w:t>温州市龙湾区永中单元A-19 区块(东欣华庭)6幢、9幢及D-06区块(臻鸿华庭)1、2幢201室两宗房产五年租赁权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7"/>
        <w:gridCol w:w="2905"/>
        <w:gridCol w:w="1506"/>
        <w:gridCol w:w="1508"/>
        <w:gridCol w:w="1446"/>
        <w:gridCol w:w="1276"/>
        <w:gridCol w:w="1272"/>
      </w:tblGrid>
      <w:tr w14:paraId="58A16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4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36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415" w:type="pct"/>
            <w:gridSpan w:val="2"/>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679"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99"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c>
          <w:tcPr>
            <w:tcW w:w="594" w:type="pct"/>
            <w:tcBorders>
              <w:right w:val="single" w:color="auto" w:sz="4" w:space="0"/>
            </w:tcBorders>
            <w:noWrap w:val="0"/>
            <w:vAlign w:val="center"/>
          </w:tcPr>
          <w:p w14:paraId="1807B9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履约保证金</w:t>
            </w:r>
          </w:p>
        </w:tc>
      </w:tr>
      <w:tr w14:paraId="33D64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6" w:type="pct"/>
            <w:vMerge w:val="restar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364" w:type="pct"/>
            <w:vMerge w:val="restar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color w:val="000000" w:themeColor="text1"/>
                <w:sz w:val="24"/>
                <w:szCs w:val="24"/>
                <w:u w:val="none"/>
                <w:lang w:val="en-US" w:eastAsia="zh-CN"/>
                <w14:textFill>
                  <w14:solidFill>
                    <w14:schemeClr w14:val="tx1"/>
                  </w14:solidFill>
                </w14:textFill>
              </w:rPr>
              <w:t>温州市龙湾区永中单元A-19 区块(东欣华庭)6幢、9幢及D-06区块(臻鸿华庭)1、2幢201室两宗房产五年租赁权</w:t>
            </w:r>
          </w:p>
        </w:tc>
        <w:tc>
          <w:tcPr>
            <w:tcW w:w="707"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6幢102室约183.93㎡</w:t>
            </w:r>
          </w:p>
        </w:tc>
        <w:tc>
          <w:tcPr>
            <w:tcW w:w="708" w:type="pct"/>
            <w:vMerge w:val="restart"/>
            <w:noWrap w:val="0"/>
            <w:vAlign w:val="center"/>
          </w:tcPr>
          <w:p w14:paraId="55365C6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kern w:val="2"/>
                <w:sz w:val="24"/>
                <w:szCs w:val="24"/>
                <w:lang w:val="en-US" w:eastAsia="zh-CN" w:bidi="ar-SA"/>
              </w:rPr>
              <w:t>合计约798.86㎡</w:t>
            </w:r>
          </w:p>
        </w:tc>
        <w:tc>
          <w:tcPr>
            <w:tcW w:w="679" w:type="pct"/>
            <w:vMerge w:val="restart"/>
            <w:tcBorders>
              <w:right w:val="single" w:color="auto" w:sz="4" w:space="0"/>
            </w:tcBorders>
            <w:noWrap w:val="0"/>
            <w:vAlign w:val="center"/>
          </w:tcPr>
          <w:p w14:paraId="61018F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val="en-US" w:eastAsia="zh-CN"/>
              </w:rPr>
            </w:pPr>
            <w:r>
              <w:rPr>
                <w:rFonts w:hint="eastAsia" w:ascii="宋体" w:hAnsi="宋体" w:eastAsia="宋体" w:cs="宋体"/>
                <w:kern w:val="2"/>
                <w:sz w:val="24"/>
                <w:szCs w:val="24"/>
                <w:lang w:val="en-US" w:eastAsia="zh-CN" w:bidi="ar-SA"/>
              </w:rPr>
              <w:t>354693</w:t>
            </w:r>
            <w:r>
              <w:rPr>
                <w:rFonts w:hint="eastAsia" w:ascii="宋体" w:hAnsi="宋体" w:cs="宋体"/>
                <w:sz w:val="24"/>
                <w:szCs w:val="32"/>
                <w:lang w:val="en-US" w:eastAsia="zh-CN"/>
              </w:rPr>
              <w:t>元</w:t>
            </w:r>
          </w:p>
        </w:tc>
        <w:tc>
          <w:tcPr>
            <w:tcW w:w="599" w:type="pct"/>
            <w:vMerge w:val="restart"/>
            <w:tcBorders>
              <w:right w:val="single" w:color="auto" w:sz="4" w:space="0"/>
            </w:tcBorders>
            <w:noWrap w:val="0"/>
            <w:vAlign w:val="center"/>
          </w:tcPr>
          <w:p w14:paraId="49362C1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35万</w:t>
            </w:r>
            <w:r>
              <w:rPr>
                <w:rFonts w:hint="eastAsia" w:ascii="宋体" w:hAnsi="宋体" w:eastAsia="宋体" w:cs="宋体"/>
                <w:kern w:val="2"/>
                <w:sz w:val="24"/>
                <w:szCs w:val="24"/>
                <w:lang w:val="en-US" w:eastAsia="zh-CN" w:bidi="ar-SA"/>
              </w:rPr>
              <w:t>元</w:t>
            </w:r>
          </w:p>
        </w:tc>
        <w:tc>
          <w:tcPr>
            <w:tcW w:w="594" w:type="pct"/>
            <w:vMerge w:val="restart"/>
            <w:tcBorders>
              <w:right w:val="single" w:color="auto" w:sz="4" w:space="0"/>
            </w:tcBorders>
            <w:noWrap w:val="0"/>
            <w:vAlign w:val="center"/>
          </w:tcPr>
          <w:p w14:paraId="67888BF8">
            <w:pPr>
              <w:spacing w:line="320" w:lineRule="exact"/>
              <w:jc w:val="center"/>
              <w:rPr>
                <w:rFonts w:hint="default" w:ascii="宋体" w:hAnsi="宋体" w:cs="宋体"/>
                <w:kern w:val="2"/>
                <w:sz w:val="24"/>
                <w:szCs w:val="24"/>
                <w:lang w:val="en-US" w:eastAsia="zh-CN" w:bidi="ar-SA"/>
              </w:rPr>
            </w:pPr>
            <w:r>
              <w:rPr>
                <w:rFonts w:hint="eastAsia" w:ascii="宋体" w:hAnsi="宋体" w:cs="宋体"/>
                <w:kern w:val="2"/>
                <w:sz w:val="24"/>
                <w:szCs w:val="24"/>
                <w:lang w:val="en-US" w:eastAsia="zh-CN" w:bidi="ar-SA"/>
              </w:rPr>
              <w:t>4万元</w:t>
            </w:r>
          </w:p>
        </w:tc>
      </w:tr>
      <w:tr w14:paraId="22151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6" w:type="pct"/>
            <w:vMerge w:val="continue"/>
            <w:tcBorders>
              <w:left w:val="single" w:color="auto" w:sz="4" w:space="0"/>
            </w:tcBorders>
            <w:noWrap w:val="0"/>
            <w:vAlign w:val="center"/>
          </w:tcPr>
          <w:p w14:paraId="6D35146A">
            <w:pPr>
              <w:spacing w:line="320" w:lineRule="exact"/>
              <w:jc w:val="center"/>
            </w:pPr>
          </w:p>
        </w:tc>
        <w:tc>
          <w:tcPr>
            <w:tcW w:w="1364" w:type="pct"/>
            <w:vMerge w:val="continue"/>
            <w:noWrap w:val="0"/>
            <w:vAlign w:val="center"/>
          </w:tcPr>
          <w:p w14:paraId="48CC54C0">
            <w:pPr>
              <w:spacing w:line="320" w:lineRule="exact"/>
              <w:jc w:val="center"/>
            </w:pPr>
          </w:p>
        </w:tc>
        <w:tc>
          <w:tcPr>
            <w:tcW w:w="707" w:type="pct"/>
            <w:noWrap w:val="0"/>
            <w:vAlign w:val="center"/>
          </w:tcPr>
          <w:p w14:paraId="37CBF8B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6幢103室约124.92㎡</w:t>
            </w:r>
          </w:p>
        </w:tc>
        <w:tc>
          <w:tcPr>
            <w:tcW w:w="708" w:type="pct"/>
            <w:vMerge w:val="continue"/>
            <w:noWrap w:val="0"/>
            <w:vAlign w:val="center"/>
          </w:tcPr>
          <w:p w14:paraId="7EB1C5F3">
            <w:pPr>
              <w:spacing w:line="320" w:lineRule="exact"/>
              <w:jc w:val="center"/>
              <w:rPr>
                <w:rFonts w:hint="eastAsia" w:asciiTheme="minorEastAsia" w:hAnsiTheme="minorEastAsia" w:eastAsiaTheme="minorEastAsia" w:cstheme="minorEastAsia"/>
                <w:bCs/>
                <w:sz w:val="24"/>
                <w:szCs w:val="24"/>
                <w:lang w:val="en-US" w:eastAsia="zh-CN"/>
              </w:rPr>
            </w:pPr>
          </w:p>
        </w:tc>
        <w:tc>
          <w:tcPr>
            <w:tcW w:w="679" w:type="pct"/>
            <w:vMerge w:val="continue"/>
            <w:tcBorders>
              <w:right w:val="single" w:color="auto" w:sz="4" w:space="0"/>
            </w:tcBorders>
            <w:noWrap w:val="0"/>
            <w:vAlign w:val="center"/>
          </w:tcPr>
          <w:p w14:paraId="3A8BFC68">
            <w:pPr>
              <w:spacing w:line="320" w:lineRule="exact"/>
              <w:jc w:val="center"/>
              <w:rPr>
                <w:rFonts w:hint="eastAsia" w:asciiTheme="minorEastAsia" w:hAnsiTheme="minorEastAsia" w:eastAsiaTheme="minorEastAsia" w:cstheme="minorEastAsia"/>
                <w:bCs/>
                <w:sz w:val="24"/>
                <w:szCs w:val="24"/>
                <w:lang w:val="en-US" w:eastAsia="zh-CN"/>
              </w:rPr>
            </w:pPr>
          </w:p>
        </w:tc>
        <w:tc>
          <w:tcPr>
            <w:tcW w:w="599" w:type="pct"/>
            <w:vMerge w:val="continue"/>
            <w:tcBorders>
              <w:right w:val="single" w:color="auto" w:sz="4" w:space="0"/>
            </w:tcBorders>
            <w:noWrap w:val="0"/>
            <w:vAlign w:val="center"/>
          </w:tcPr>
          <w:p w14:paraId="1C819842">
            <w:pPr>
              <w:spacing w:line="320" w:lineRule="exact"/>
              <w:jc w:val="center"/>
              <w:rPr>
                <w:rFonts w:hint="eastAsia" w:asciiTheme="minorEastAsia" w:hAnsiTheme="minorEastAsia" w:eastAsiaTheme="minorEastAsia" w:cstheme="minorEastAsia"/>
                <w:bCs/>
                <w:sz w:val="24"/>
                <w:szCs w:val="24"/>
                <w:lang w:val="en-US" w:eastAsia="zh-CN"/>
              </w:rPr>
            </w:pPr>
          </w:p>
        </w:tc>
        <w:tc>
          <w:tcPr>
            <w:tcW w:w="594" w:type="pct"/>
            <w:vMerge w:val="continue"/>
            <w:tcBorders>
              <w:right w:val="single" w:color="auto" w:sz="4" w:space="0"/>
            </w:tcBorders>
            <w:noWrap w:val="0"/>
            <w:vAlign w:val="center"/>
          </w:tcPr>
          <w:p w14:paraId="5E28B381">
            <w:pPr>
              <w:spacing w:line="320" w:lineRule="exact"/>
              <w:jc w:val="center"/>
              <w:rPr>
                <w:rFonts w:hint="eastAsia" w:asciiTheme="minorEastAsia" w:hAnsiTheme="minorEastAsia" w:eastAsiaTheme="minorEastAsia" w:cstheme="minorEastAsia"/>
                <w:bCs/>
                <w:sz w:val="24"/>
                <w:szCs w:val="24"/>
                <w:lang w:val="en-US" w:eastAsia="zh-CN"/>
              </w:rPr>
            </w:pPr>
          </w:p>
        </w:tc>
      </w:tr>
      <w:tr w14:paraId="258F0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6" w:type="pct"/>
            <w:vMerge w:val="continue"/>
            <w:tcBorders>
              <w:left w:val="single" w:color="auto" w:sz="4" w:space="0"/>
            </w:tcBorders>
            <w:noWrap w:val="0"/>
            <w:vAlign w:val="center"/>
          </w:tcPr>
          <w:p w14:paraId="45AB904E">
            <w:pPr>
              <w:spacing w:line="320" w:lineRule="exact"/>
              <w:jc w:val="center"/>
              <w:rPr>
                <w:rFonts w:hint="eastAsia" w:asciiTheme="minorEastAsia" w:hAnsiTheme="minorEastAsia" w:eastAsiaTheme="minorEastAsia" w:cstheme="minorEastAsia"/>
                <w:bCs/>
                <w:sz w:val="24"/>
                <w:szCs w:val="24"/>
                <w:lang w:val="en-US" w:eastAsia="zh-CN"/>
              </w:rPr>
            </w:pPr>
          </w:p>
        </w:tc>
        <w:tc>
          <w:tcPr>
            <w:tcW w:w="1364" w:type="pct"/>
            <w:vMerge w:val="continue"/>
            <w:noWrap w:val="0"/>
            <w:vAlign w:val="center"/>
          </w:tcPr>
          <w:p w14:paraId="23AB7D1E">
            <w:pPr>
              <w:spacing w:line="320" w:lineRule="exact"/>
              <w:jc w:val="center"/>
              <w:rPr>
                <w:rFonts w:hint="eastAsia" w:asciiTheme="minorEastAsia" w:hAnsiTheme="minorEastAsia" w:eastAsiaTheme="minorEastAsia" w:cstheme="minorEastAsia"/>
                <w:bCs/>
                <w:sz w:val="24"/>
                <w:szCs w:val="24"/>
                <w:lang w:val="en-US" w:eastAsia="zh-CN"/>
              </w:rPr>
            </w:pPr>
          </w:p>
        </w:tc>
        <w:tc>
          <w:tcPr>
            <w:tcW w:w="707" w:type="pct"/>
            <w:noWrap w:val="0"/>
            <w:vAlign w:val="center"/>
          </w:tcPr>
          <w:p w14:paraId="1DD8375F">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9幢101室约298.67㎡</w:t>
            </w:r>
          </w:p>
        </w:tc>
        <w:tc>
          <w:tcPr>
            <w:tcW w:w="708" w:type="pct"/>
            <w:vMerge w:val="continue"/>
            <w:noWrap w:val="0"/>
            <w:vAlign w:val="center"/>
          </w:tcPr>
          <w:p w14:paraId="77DD6A3E">
            <w:pPr>
              <w:spacing w:line="320" w:lineRule="exact"/>
              <w:jc w:val="center"/>
              <w:rPr>
                <w:rFonts w:hint="eastAsia" w:asciiTheme="minorEastAsia" w:hAnsiTheme="minorEastAsia" w:eastAsiaTheme="minorEastAsia" w:cstheme="minorEastAsia"/>
                <w:bCs/>
                <w:sz w:val="24"/>
                <w:szCs w:val="24"/>
                <w:lang w:val="en-US" w:eastAsia="zh-CN"/>
              </w:rPr>
            </w:pPr>
          </w:p>
        </w:tc>
        <w:tc>
          <w:tcPr>
            <w:tcW w:w="679" w:type="pct"/>
            <w:vMerge w:val="continue"/>
            <w:tcBorders>
              <w:right w:val="single" w:color="auto" w:sz="4" w:space="0"/>
            </w:tcBorders>
            <w:noWrap w:val="0"/>
            <w:vAlign w:val="center"/>
          </w:tcPr>
          <w:p w14:paraId="66D40B5A">
            <w:pPr>
              <w:spacing w:line="320" w:lineRule="exact"/>
              <w:jc w:val="center"/>
              <w:rPr>
                <w:rFonts w:hint="eastAsia" w:asciiTheme="minorEastAsia" w:hAnsiTheme="minorEastAsia" w:eastAsiaTheme="minorEastAsia" w:cstheme="minorEastAsia"/>
                <w:bCs/>
                <w:sz w:val="24"/>
                <w:szCs w:val="24"/>
                <w:lang w:val="en-US" w:eastAsia="zh-CN"/>
              </w:rPr>
            </w:pPr>
          </w:p>
        </w:tc>
        <w:tc>
          <w:tcPr>
            <w:tcW w:w="599" w:type="pct"/>
            <w:vMerge w:val="continue"/>
            <w:tcBorders>
              <w:right w:val="single" w:color="auto" w:sz="4" w:space="0"/>
            </w:tcBorders>
            <w:noWrap w:val="0"/>
            <w:vAlign w:val="center"/>
          </w:tcPr>
          <w:p w14:paraId="2799DD68">
            <w:pPr>
              <w:spacing w:line="320" w:lineRule="exact"/>
              <w:jc w:val="center"/>
              <w:rPr>
                <w:rFonts w:hint="eastAsia" w:asciiTheme="minorEastAsia" w:hAnsiTheme="minorEastAsia" w:eastAsiaTheme="minorEastAsia" w:cstheme="minorEastAsia"/>
                <w:bCs/>
                <w:sz w:val="24"/>
                <w:szCs w:val="24"/>
                <w:lang w:val="en-US" w:eastAsia="zh-CN"/>
              </w:rPr>
            </w:pPr>
          </w:p>
        </w:tc>
        <w:tc>
          <w:tcPr>
            <w:tcW w:w="594" w:type="pct"/>
            <w:vMerge w:val="continue"/>
            <w:tcBorders>
              <w:right w:val="single" w:color="auto" w:sz="4" w:space="0"/>
            </w:tcBorders>
            <w:noWrap w:val="0"/>
            <w:vAlign w:val="center"/>
          </w:tcPr>
          <w:p w14:paraId="5D1C943D">
            <w:pPr>
              <w:spacing w:line="320" w:lineRule="exact"/>
              <w:jc w:val="center"/>
              <w:rPr>
                <w:rFonts w:hint="eastAsia" w:asciiTheme="minorEastAsia" w:hAnsiTheme="minorEastAsia" w:eastAsiaTheme="minorEastAsia" w:cstheme="minorEastAsia"/>
                <w:bCs/>
                <w:sz w:val="24"/>
                <w:szCs w:val="24"/>
                <w:lang w:val="en-US" w:eastAsia="zh-CN"/>
              </w:rPr>
            </w:pPr>
          </w:p>
        </w:tc>
      </w:tr>
      <w:tr w14:paraId="2BEF4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8" w:hRule="atLeast"/>
          <w:jc w:val="center"/>
        </w:trPr>
        <w:tc>
          <w:tcPr>
            <w:tcW w:w="346" w:type="pct"/>
            <w:vMerge w:val="continue"/>
            <w:tcBorders>
              <w:left w:val="single" w:color="auto" w:sz="4" w:space="0"/>
            </w:tcBorders>
            <w:noWrap w:val="0"/>
            <w:vAlign w:val="center"/>
          </w:tcPr>
          <w:p w14:paraId="2372F4AF">
            <w:pPr>
              <w:spacing w:line="320" w:lineRule="exact"/>
              <w:jc w:val="center"/>
              <w:rPr>
                <w:rFonts w:hint="eastAsia" w:asciiTheme="minorEastAsia" w:hAnsiTheme="minorEastAsia" w:eastAsiaTheme="minorEastAsia" w:cstheme="minorEastAsia"/>
                <w:bCs/>
                <w:sz w:val="24"/>
                <w:szCs w:val="24"/>
                <w:lang w:val="en-US" w:eastAsia="zh-CN"/>
              </w:rPr>
            </w:pPr>
          </w:p>
        </w:tc>
        <w:tc>
          <w:tcPr>
            <w:tcW w:w="1364" w:type="pct"/>
            <w:vMerge w:val="continue"/>
            <w:noWrap w:val="0"/>
            <w:vAlign w:val="center"/>
          </w:tcPr>
          <w:p w14:paraId="2D36096D">
            <w:pPr>
              <w:spacing w:line="320" w:lineRule="exact"/>
              <w:jc w:val="center"/>
              <w:rPr>
                <w:rFonts w:hint="eastAsia" w:asciiTheme="minorEastAsia" w:hAnsiTheme="minorEastAsia" w:eastAsiaTheme="minorEastAsia" w:cstheme="minorEastAsia"/>
                <w:bCs/>
                <w:sz w:val="24"/>
                <w:szCs w:val="24"/>
                <w:lang w:val="en-US" w:eastAsia="zh-CN"/>
              </w:rPr>
            </w:pPr>
          </w:p>
        </w:tc>
        <w:tc>
          <w:tcPr>
            <w:tcW w:w="707" w:type="pct"/>
            <w:noWrap w:val="0"/>
            <w:vAlign w:val="center"/>
          </w:tcPr>
          <w:p w14:paraId="30F1CC8D">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9幢102室约191.34㎡</w:t>
            </w:r>
          </w:p>
        </w:tc>
        <w:tc>
          <w:tcPr>
            <w:tcW w:w="708" w:type="pct"/>
            <w:vMerge w:val="continue"/>
            <w:noWrap w:val="0"/>
            <w:vAlign w:val="center"/>
          </w:tcPr>
          <w:p w14:paraId="39B9EBB7">
            <w:pPr>
              <w:spacing w:line="320" w:lineRule="exact"/>
              <w:jc w:val="center"/>
              <w:rPr>
                <w:rFonts w:hint="eastAsia" w:asciiTheme="minorEastAsia" w:hAnsiTheme="minorEastAsia" w:eastAsiaTheme="minorEastAsia" w:cstheme="minorEastAsia"/>
                <w:bCs/>
                <w:sz w:val="24"/>
                <w:szCs w:val="24"/>
                <w:lang w:val="en-US" w:eastAsia="zh-CN"/>
              </w:rPr>
            </w:pPr>
          </w:p>
        </w:tc>
        <w:tc>
          <w:tcPr>
            <w:tcW w:w="679" w:type="pct"/>
            <w:vMerge w:val="continue"/>
            <w:tcBorders>
              <w:right w:val="single" w:color="auto" w:sz="4" w:space="0"/>
            </w:tcBorders>
            <w:noWrap w:val="0"/>
            <w:vAlign w:val="center"/>
          </w:tcPr>
          <w:p w14:paraId="5ADF3F25">
            <w:pPr>
              <w:spacing w:line="320" w:lineRule="exact"/>
              <w:jc w:val="center"/>
              <w:rPr>
                <w:rFonts w:hint="eastAsia" w:asciiTheme="minorEastAsia" w:hAnsiTheme="minorEastAsia" w:eastAsiaTheme="minorEastAsia" w:cstheme="minorEastAsia"/>
                <w:bCs/>
                <w:sz w:val="24"/>
                <w:szCs w:val="24"/>
                <w:lang w:val="en-US" w:eastAsia="zh-CN"/>
              </w:rPr>
            </w:pPr>
          </w:p>
        </w:tc>
        <w:tc>
          <w:tcPr>
            <w:tcW w:w="599" w:type="pct"/>
            <w:vMerge w:val="continue"/>
            <w:tcBorders>
              <w:right w:val="single" w:color="auto" w:sz="4" w:space="0"/>
            </w:tcBorders>
            <w:noWrap w:val="0"/>
            <w:vAlign w:val="center"/>
          </w:tcPr>
          <w:p w14:paraId="06F9C87D">
            <w:pPr>
              <w:spacing w:line="320" w:lineRule="exact"/>
              <w:jc w:val="center"/>
              <w:rPr>
                <w:rFonts w:hint="eastAsia" w:asciiTheme="minorEastAsia" w:hAnsiTheme="minorEastAsia" w:eastAsiaTheme="minorEastAsia" w:cstheme="minorEastAsia"/>
                <w:bCs/>
                <w:sz w:val="24"/>
                <w:szCs w:val="24"/>
                <w:lang w:val="en-US" w:eastAsia="zh-CN"/>
              </w:rPr>
            </w:pPr>
          </w:p>
        </w:tc>
        <w:tc>
          <w:tcPr>
            <w:tcW w:w="594" w:type="pct"/>
            <w:vMerge w:val="continue"/>
            <w:tcBorders>
              <w:right w:val="single" w:color="auto" w:sz="4" w:space="0"/>
            </w:tcBorders>
            <w:noWrap w:val="0"/>
            <w:vAlign w:val="center"/>
          </w:tcPr>
          <w:p w14:paraId="1D41699F">
            <w:pPr>
              <w:spacing w:line="320" w:lineRule="exact"/>
              <w:jc w:val="center"/>
              <w:rPr>
                <w:rFonts w:hint="eastAsia" w:asciiTheme="minorEastAsia" w:hAnsiTheme="minorEastAsia" w:eastAsiaTheme="minorEastAsia" w:cstheme="minorEastAsia"/>
                <w:bCs/>
                <w:sz w:val="24"/>
                <w:szCs w:val="24"/>
                <w:lang w:val="en-US" w:eastAsia="zh-CN"/>
              </w:rPr>
            </w:pPr>
          </w:p>
        </w:tc>
      </w:tr>
      <w:tr w14:paraId="17518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jc w:val="center"/>
        </w:trPr>
        <w:tc>
          <w:tcPr>
            <w:tcW w:w="346" w:type="pct"/>
            <w:tcBorders>
              <w:left w:val="single" w:color="auto" w:sz="4" w:space="0"/>
              <w:right w:val="single" w:color="auto" w:sz="4" w:space="0"/>
            </w:tcBorders>
            <w:noWrap w:val="0"/>
            <w:vAlign w:val="center"/>
          </w:tcPr>
          <w:p w14:paraId="25243FB3">
            <w:pPr>
              <w:pStyle w:val="3"/>
              <w:ind w:left="0" w:leftChars="0" w:firstLine="0" w:firstLineChars="0"/>
              <w:jc w:val="center"/>
              <w:rPr>
                <w:rFonts w:hint="default" w:ascii="宋体" w:hAnsi="宋体" w:eastAsia="宋体"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w:t>
            </w:r>
          </w:p>
        </w:tc>
        <w:tc>
          <w:tcPr>
            <w:tcW w:w="1364" w:type="pct"/>
            <w:tcBorders>
              <w:left w:val="single" w:color="auto" w:sz="4" w:space="0"/>
              <w:right w:val="single" w:color="auto" w:sz="4" w:space="0"/>
            </w:tcBorders>
            <w:noWrap w:val="0"/>
            <w:vAlign w:val="center"/>
          </w:tcPr>
          <w:p w14:paraId="707E1498">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color w:val="000000" w:themeColor="text1"/>
                <w:sz w:val="24"/>
                <w:szCs w:val="24"/>
                <w:u w:val="none"/>
                <w:lang w:val="en-US" w:eastAsia="zh-CN"/>
                <w14:textFill>
                  <w14:solidFill>
                    <w14:schemeClr w14:val="tx1"/>
                  </w14:solidFill>
                </w14:textFill>
              </w:rPr>
              <w:t>温州市龙湾区永中单元D-06区块(臻鸿华庭)1、2幢201室五年租赁权</w:t>
            </w:r>
          </w:p>
        </w:tc>
        <w:tc>
          <w:tcPr>
            <w:tcW w:w="1415" w:type="pct"/>
            <w:gridSpan w:val="2"/>
            <w:tcBorders>
              <w:left w:val="single" w:color="auto" w:sz="4" w:space="0"/>
              <w:right w:val="single" w:color="auto" w:sz="4" w:space="0"/>
            </w:tcBorders>
            <w:noWrap w:val="0"/>
            <w:vAlign w:val="center"/>
          </w:tcPr>
          <w:p w14:paraId="35889155">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约1102.57㎡</w:t>
            </w:r>
          </w:p>
        </w:tc>
        <w:tc>
          <w:tcPr>
            <w:tcW w:w="679" w:type="pct"/>
            <w:tcBorders>
              <w:left w:val="single" w:color="auto" w:sz="4" w:space="0"/>
              <w:right w:val="single" w:color="auto" w:sz="4" w:space="0"/>
            </w:tcBorders>
            <w:noWrap w:val="0"/>
            <w:vAlign w:val="center"/>
          </w:tcPr>
          <w:p w14:paraId="6945D6EA">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kern w:val="2"/>
                <w:sz w:val="24"/>
                <w:szCs w:val="24"/>
                <w:lang w:val="en-US" w:eastAsia="zh-CN" w:bidi="ar-SA"/>
              </w:rPr>
              <w:t>238155元</w:t>
            </w:r>
          </w:p>
        </w:tc>
        <w:tc>
          <w:tcPr>
            <w:tcW w:w="599" w:type="pct"/>
            <w:tcBorders>
              <w:left w:val="single" w:color="auto" w:sz="4" w:space="0"/>
              <w:right w:val="single" w:color="auto" w:sz="4" w:space="0"/>
            </w:tcBorders>
            <w:noWrap w:val="0"/>
            <w:vAlign w:val="center"/>
          </w:tcPr>
          <w:p w14:paraId="368871F2">
            <w:pPr>
              <w:pStyle w:val="3"/>
              <w:ind w:left="0" w:leftChars="0" w:firstLine="0" w:firstLineChars="0"/>
              <w:jc w:val="center"/>
              <w:rPr>
                <w:rFonts w:hint="default" w:ascii="宋体" w:hAnsi="宋体" w:eastAsia="宋体"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23万元</w:t>
            </w:r>
          </w:p>
        </w:tc>
        <w:tc>
          <w:tcPr>
            <w:tcW w:w="594" w:type="pct"/>
            <w:tcBorders>
              <w:left w:val="single" w:color="auto" w:sz="4" w:space="0"/>
              <w:right w:val="single" w:color="auto" w:sz="4" w:space="0"/>
            </w:tcBorders>
            <w:noWrap w:val="0"/>
            <w:vAlign w:val="center"/>
          </w:tcPr>
          <w:p w14:paraId="4716A1A2">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3万元</w:t>
            </w:r>
          </w:p>
        </w:tc>
      </w:tr>
      <w:tr w14:paraId="739EE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jc w:val="center"/>
        </w:trPr>
        <w:tc>
          <w:tcPr>
            <w:tcW w:w="5000" w:type="pct"/>
            <w:gridSpan w:val="7"/>
            <w:tcBorders>
              <w:left w:val="single" w:color="auto" w:sz="4" w:space="0"/>
              <w:right w:val="single" w:color="auto" w:sz="4" w:space="0"/>
            </w:tcBorders>
            <w:noWrap w:val="0"/>
            <w:vAlign w:val="center"/>
          </w:tcPr>
          <w:p w14:paraId="2C3194C3">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1、租期5年，租金（不含税）一年一付，先付后用，第1-3年租金为竞价成交价，第4-5年的租金在第3年租金的基础上递增3%。</w:t>
            </w:r>
          </w:p>
          <w:p w14:paraId="4FC39C29">
            <w:pPr>
              <w:pStyle w:val="3"/>
              <w:ind w:left="0" w:leftChars="0" w:firstLine="480" w:firstLineChars="200"/>
              <w:rPr>
                <w:rFonts w:hint="eastAsia"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2、一号标的设1个月装修期，二号标的设2个月装修期，均不计租金及租期。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w:t>
      </w:r>
      <w:r>
        <w:rPr>
          <w:rFonts w:hint="eastAsia" w:ascii="宋体" w:hAnsi="宋体" w:cs="Times New Roman"/>
          <w:color w:val="auto"/>
          <w:sz w:val="24"/>
          <w:szCs w:val="24"/>
          <w:u w:val="none"/>
          <w:lang w:val="en-US" w:eastAsia="zh-CN"/>
        </w:rPr>
        <w:t>首</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上京村租赁项目（标的编号）</w:t>
      </w:r>
      <w:r>
        <w:rPr>
          <w:rFonts w:hint="eastAsia" w:ascii="宋体" w:hAnsi="宋体" w:eastAsia="宋体" w:cs="Times New Roman"/>
          <w:b/>
          <w:bCs/>
          <w:color w:val="auto"/>
          <w:sz w:val="24"/>
          <w:szCs w:val="24"/>
          <w:u w:val="none"/>
          <w:lang w:val="en-US" w:eastAsia="zh-CN"/>
        </w:rPr>
        <w:t>。</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89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358775</wp:posOffset>
            </wp:positionH>
            <wp:positionV relativeFrom="paragraph">
              <wp:posOffset>215265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7</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w:t>
      </w:r>
      <w:r>
        <w:rPr>
          <w:rFonts w:hint="eastAsia" w:ascii="宋体" w:hAnsi="宋体" w:eastAsia="宋体" w:cs="宋体"/>
          <w:bCs/>
          <w:kern w:val="2"/>
          <w:sz w:val="24"/>
          <w:szCs w:val="24"/>
          <w:lang w:val="en-US" w:eastAsia="zh-CN" w:bidi="ar-SA"/>
        </w:rPr>
        <w:t>永中街道上京</w:t>
      </w:r>
      <w:r>
        <w:rPr>
          <w:rFonts w:hint="eastAsia" w:ascii="宋体" w:hAnsi="宋体" w:cs="Times New Roman"/>
          <w:color w:val="auto"/>
          <w:sz w:val="24"/>
          <w:szCs w:val="24"/>
          <w:u w:val="none"/>
          <w:lang w:val="en-US" w:eastAsia="zh-CN"/>
        </w:rPr>
        <w:t>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2025年4月28日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2025年4月28日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2025年5月</w:t>
      </w:r>
      <w:r>
        <w:rPr>
          <w:rFonts w:hint="eastAsia"/>
          <w:color w:val="auto"/>
          <w:sz w:val="24"/>
          <w:highlight w:val="none"/>
          <w:u w:val="single"/>
          <w:lang w:val="en-US" w:eastAsia="zh-CN"/>
        </w:rPr>
        <w:t>8</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bCs/>
          <w:kern w:val="2"/>
          <w:sz w:val="24"/>
          <w:szCs w:val="24"/>
          <w:lang w:val="en-US" w:eastAsia="zh-CN" w:bidi="ar-SA"/>
        </w:rPr>
        <w:t>永中街道上京</w:t>
      </w:r>
      <w:r>
        <w:rPr>
          <w:rFonts w:hint="eastAsia"/>
          <w:b w:val="0"/>
          <w:bCs w:val="0"/>
          <w:color w:val="auto"/>
          <w:sz w:val="24"/>
          <w:highlight w:val="none"/>
          <w:lang w:val="en-US" w:eastAsia="zh-CN"/>
        </w:rPr>
        <w:t>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7"/>
        <w:gridCol w:w="2905"/>
        <w:gridCol w:w="1506"/>
        <w:gridCol w:w="1508"/>
        <w:gridCol w:w="1446"/>
        <w:gridCol w:w="1276"/>
        <w:gridCol w:w="1272"/>
      </w:tblGrid>
      <w:tr w14:paraId="01227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46" w:type="pct"/>
            <w:tcBorders>
              <w:left w:val="single" w:color="auto" w:sz="4" w:space="0"/>
            </w:tcBorders>
            <w:noWrap w:val="0"/>
            <w:vAlign w:val="center"/>
          </w:tcPr>
          <w:p w14:paraId="0907B6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35992F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364" w:type="pct"/>
            <w:noWrap w:val="0"/>
            <w:vAlign w:val="center"/>
          </w:tcPr>
          <w:p w14:paraId="2BDAF5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234950</wp:posOffset>
                  </wp:positionH>
                  <wp:positionV relativeFrom="paragraph">
                    <wp:posOffset>83820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sz w:val="24"/>
                <w:szCs w:val="24"/>
                <w:lang w:val="en-US" w:eastAsia="zh-CN"/>
              </w:rPr>
              <w:t>标的概况</w:t>
            </w:r>
          </w:p>
        </w:tc>
        <w:tc>
          <w:tcPr>
            <w:tcW w:w="1415" w:type="pct"/>
            <w:gridSpan w:val="2"/>
            <w:noWrap w:val="0"/>
            <w:vAlign w:val="center"/>
          </w:tcPr>
          <w:p w14:paraId="77A3C6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679" w:type="pct"/>
            <w:tcBorders>
              <w:right w:val="single" w:color="auto" w:sz="4" w:space="0"/>
            </w:tcBorders>
            <w:noWrap w:val="0"/>
            <w:vAlign w:val="center"/>
          </w:tcPr>
          <w:p w14:paraId="618717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5ED5FB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99" w:type="pct"/>
            <w:tcBorders>
              <w:right w:val="single" w:color="auto" w:sz="4" w:space="0"/>
            </w:tcBorders>
            <w:noWrap w:val="0"/>
            <w:vAlign w:val="center"/>
          </w:tcPr>
          <w:p w14:paraId="04D0AB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476AC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c>
          <w:tcPr>
            <w:tcW w:w="594" w:type="pct"/>
            <w:tcBorders>
              <w:right w:val="single" w:color="auto" w:sz="4" w:space="0"/>
            </w:tcBorders>
            <w:noWrap w:val="0"/>
            <w:vAlign w:val="center"/>
          </w:tcPr>
          <w:p w14:paraId="2BCCBB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履约保证金</w:t>
            </w:r>
          </w:p>
        </w:tc>
      </w:tr>
      <w:tr w14:paraId="07A07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6" w:type="pct"/>
            <w:vMerge w:val="restart"/>
            <w:tcBorders>
              <w:left w:val="single" w:color="auto" w:sz="4" w:space="0"/>
            </w:tcBorders>
            <w:noWrap w:val="0"/>
            <w:vAlign w:val="center"/>
          </w:tcPr>
          <w:p w14:paraId="002B63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364" w:type="pct"/>
            <w:vMerge w:val="restart"/>
            <w:noWrap w:val="0"/>
            <w:vAlign w:val="center"/>
          </w:tcPr>
          <w:p w14:paraId="755CD94A">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color w:val="000000" w:themeColor="text1"/>
                <w:sz w:val="24"/>
                <w:szCs w:val="24"/>
                <w:u w:val="none"/>
                <w:lang w:val="en-US" w:eastAsia="zh-CN"/>
                <w14:textFill>
                  <w14:solidFill>
                    <w14:schemeClr w14:val="tx1"/>
                  </w14:solidFill>
                </w14:textFill>
              </w:rPr>
              <w:t>温州市龙湾区永中单元A-19 区块(东欣华庭)6幢、9幢及D-06区块(臻鸿华庭)1、2幢201室两宗房产五年租赁权</w:t>
            </w:r>
          </w:p>
        </w:tc>
        <w:tc>
          <w:tcPr>
            <w:tcW w:w="707" w:type="pct"/>
            <w:noWrap w:val="0"/>
            <w:vAlign w:val="center"/>
          </w:tcPr>
          <w:p w14:paraId="0927D1E2">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6幢102室约183.93㎡</w:t>
            </w:r>
          </w:p>
        </w:tc>
        <w:tc>
          <w:tcPr>
            <w:tcW w:w="708" w:type="pct"/>
            <w:vMerge w:val="restart"/>
            <w:noWrap w:val="0"/>
            <w:vAlign w:val="center"/>
          </w:tcPr>
          <w:p w14:paraId="08237293">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kern w:val="2"/>
                <w:sz w:val="24"/>
                <w:szCs w:val="24"/>
                <w:lang w:val="en-US" w:eastAsia="zh-CN" w:bidi="ar-SA"/>
              </w:rPr>
              <w:t>合计约798.86㎡</w:t>
            </w:r>
          </w:p>
        </w:tc>
        <w:tc>
          <w:tcPr>
            <w:tcW w:w="679" w:type="pct"/>
            <w:vMerge w:val="restart"/>
            <w:tcBorders>
              <w:right w:val="single" w:color="auto" w:sz="4" w:space="0"/>
            </w:tcBorders>
            <w:noWrap w:val="0"/>
            <w:vAlign w:val="center"/>
          </w:tcPr>
          <w:p w14:paraId="14CFEC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val="en-US" w:eastAsia="zh-CN"/>
              </w:rPr>
            </w:pPr>
            <w:r>
              <w:rPr>
                <w:rFonts w:hint="eastAsia" w:ascii="宋体" w:hAnsi="宋体" w:eastAsia="宋体" w:cs="宋体"/>
                <w:kern w:val="2"/>
                <w:sz w:val="24"/>
                <w:szCs w:val="24"/>
                <w:lang w:val="en-US" w:eastAsia="zh-CN" w:bidi="ar-SA"/>
              </w:rPr>
              <w:t>354693</w:t>
            </w:r>
            <w:r>
              <w:rPr>
                <w:rFonts w:hint="eastAsia" w:ascii="宋体" w:hAnsi="宋体" w:cs="宋体"/>
                <w:sz w:val="24"/>
                <w:szCs w:val="32"/>
                <w:lang w:val="en-US" w:eastAsia="zh-CN"/>
              </w:rPr>
              <w:t>元</w:t>
            </w:r>
          </w:p>
        </w:tc>
        <w:tc>
          <w:tcPr>
            <w:tcW w:w="599" w:type="pct"/>
            <w:vMerge w:val="restart"/>
            <w:tcBorders>
              <w:right w:val="single" w:color="auto" w:sz="4" w:space="0"/>
            </w:tcBorders>
            <w:noWrap w:val="0"/>
            <w:vAlign w:val="center"/>
          </w:tcPr>
          <w:p w14:paraId="2AD6FACA">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35万</w:t>
            </w:r>
            <w:r>
              <w:rPr>
                <w:rFonts w:hint="eastAsia" w:ascii="宋体" w:hAnsi="宋体" w:eastAsia="宋体" w:cs="宋体"/>
                <w:kern w:val="2"/>
                <w:sz w:val="24"/>
                <w:szCs w:val="24"/>
                <w:lang w:val="en-US" w:eastAsia="zh-CN" w:bidi="ar-SA"/>
              </w:rPr>
              <w:t>元</w:t>
            </w:r>
          </w:p>
        </w:tc>
        <w:tc>
          <w:tcPr>
            <w:tcW w:w="594" w:type="pct"/>
            <w:vMerge w:val="restart"/>
            <w:tcBorders>
              <w:right w:val="single" w:color="auto" w:sz="4" w:space="0"/>
            </w:tcBorders>
            <w:noWrap w:val="0"/>
            <w:vAlign w:val="center"/>
          </w:tcPr>
          <w:p w14:paraId="69995C24">
            <w:pPr>
              <w:spacing w:line="320" w:lineRule="exact"/>
              <w:jc w:val="center"/>
              <w:rPr>
                <w:rFonts w:hint="default" w:ascii="宋体" w:hAnsi="宋体" w:cs="宋体"/>
                <w:kern w:val="2"/>
                <w:sz w:val="24"/>
                <w:szCs w:val="24"/>
                <w:lang w:val="en-US" w:eastAsia="zh-CN" w:bidi="ar-SA"/>
              </w:rPr>
            </w:pPr>
            <w:r>
              <w:rPr>
                <w:rFonts w:hint="eastAsia" w:ascii="宋体" w:hAnsi="宋体" w:cs="宋体"/>
                <w:kern w:val="2"/>
                <w:sz w:val="24"/>
                <w:szCs w:val="24"/>
                <w:lang w:val="en-US" w:eastAsia="zh-CN" w:bidi="ar-SA"/>
              </w:rPr>
              <w:t>4万元</w:t>
            </w:r>
          </w:p>
        </w:tc>
      </w:tr>
      <w:tr w14:paraId="305AB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6" w:type="pct"/>
            <w:vMerge w:val="continue"/>
            <w:tcBorders>
              <w:left w:val="single" w:color="auto" w:sz="4" w:space="0"/>
            </w:tcBorders>
            <w:noWrap w:val="0"/>
            <w:vAlign w:val="center"/>
          </w:tcPr>
          <w:p w14:paraId="08CC7918">
            <w:pPr>
              <w:spacing w:line="320" w:lineRule="exact"/>
              <w:jc w:val="center"/>
            </w:pPr>
          </w:p>
        </w:tc>
        <w:tc>
          <w:tcPr>
            <w:tcW w:w="1364" w:type="pct"/>
            <w:vMerge w:val="continue"/>
            <w:noWrap w:val="0"/>
            <w:vAlign w:val="center"/>
          </w:tcPr>
          <w:p w14:paraId="599997B6">
            <w:pPr>
              <w:spacing w:line="320" w:lineRule="exact"/>
              <w:jc w:val="center"/>
            </w:pPr>
          </w:p>
        </w:tc>
        <w:tc>
          <w:tcPr>
            <w:tcW w:w="707" w:type="pct"/>
            <w:noWrap w:val="0"/>
            <w:vAlign w:val="center"/>
          </w:tcPr>
          <w:p w14:paraId="7292EBAF">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6幢103室约124.92㎡</w:t>
            </w:r>
          </w:p>
        </w:tc>
        <w:tc>
          <w:tcPr>
            <w:tcW w:w="708" w:type="pct"/>
            <w:vMerge w:val="continue"/>
            <w:noWrap w:val="0"/>
            <w:vAlign w:val="center"/>
          </w:tcPr>
          <w:p w14:paraId="615E2DAD">
            <w:pPr>
              <w:spacing w:line="320" w:lineRule="exact"/>
              <w:jc w:val="center"/>
              <w:rPr>
                <w:rFonts w:hint="eastAsia" w:asciiTheme="minorEastAsia" w:hAnsiTheme="minorEastAsia" w:eastAsiaTheme="minorEastAsia" w:cstheme="minorEastAsia"/>
                <w:bCs/>
                <w:sz w:val="24"/>
                <w:szCs w:val="24"/>
                <w:lang w:val="en-US" w:eastAsia="zh-CN"/>
              </w:rPr>
            </w:pPr>
          </w:p>
        </w:tc>
        <w:tc>
          <w:tcPr>
            <w:tcW w:w="679" w:type="pct"/>
            <w:vMerge w:val="continue"/>
            <w:tcBorders>
              <w:right w:val="single" w:color="auto" w:sz="4" w:space="0"/>
            </w:tcBorders>
            <w:noWrap w:val="0"/>
            <w:vAlign w:val="center"/>
          </w:tcPr>
          <w:p w14:paraId="3A4D29AC">
            <w:pPr>
              <w:spacing w:line="320" w:lineRule="exact"/>
              <w:jc w:val="center"/>
              <w:rPr>
                <w:rFonts w:hint="eastAsia" w:asciiTheme="minorEastAsia" w:hAnsiTheme="minorEastAsia" w:eastAsiaTheme="minorEastAsia" w:cstheme="minorEastAsia"/>
                <w:bCs/>
                <w:sz w:val="24"/>
                <w:szCs w:val="24"/>
                <w:lang w:val="en-US" w:eastAsia="zh-CN"/>
              </w:rPr>
            </w:pPr>
          </w:p>
        </w:tc>
        <w:tc>
          <w:tcPr>
            <w:tcW w:w="599" w:type="pct"/>
            <w:vMerge w:val="continue"/>
            <w:tcBorders>
              <w:right w:val="single" w:color="auto" w:sz="4" w:space="0"/>
            </w:tcBorders>
            <w:noWrap w:val="0"/>
            <w:vAlign w:val="center"/>
          </w:tcPr>
          <w:p w14:paraId="78155D5E">
            <w:pPr>
              <w:spacing w:line="320" w:lineRule="exact"/>
              <w:jc w:val="center"/>
              <w:rPr>
                <w:rFonts w:hint="eastAsia" w:asciiTheme="minorEastAsia" w:hAnsiTheme="minorEastAsia" w:eastAsiaTheme="minorEastAsia" w:cstheme="minorEastAsia"/>
                <w:bCs/>
                <w:sz w:val="24"/>
                <w:szCs w:val="24"/>
                <w:lang w:val="en-US" w:eastAsia="zh-CN"/>
              </w:rPr>
            </w:pPr>
          </w:p>
        </w:tc>
        <w:tc>
          <w:tcPr>
            <w:tcW w:w="594" w:type="pct"/>
            <w:vMerge w:val="continue"/>
            <w:tcBorders>
              <w:right w:val="single" w:color="auto" w:sz="4" w:space="0"/>
            </w:tcBorders>
            <w:noWrap w:val="0"/>
            <w:vAlign w:val="center"/>
          </w:tcPr>
          <w:p w14:paraId="460513D6">
            <w:pPr>
              <w:spacing w:line="320" w:lineRule="exact"/>
              <w:jc w:val="center"/>
              <w:rPr>
                <w:rFonts w:hint="eastAsia" w:asciiTheme="minorEastAsia" w:hAnsiTheme="minorEastAsia" w:eastAsiaTheme="minorEastAsia" w:cstheme="minorEastAsia"/>
                <w:bCs/>
                <w:sz w:val="24"/>
                <w:szCs w:val="24"/>
                <w:lang w:val="en-US" w:eastAsia="zh-CN"/>
              </w:rPr>
            </w:pPr>
          </w:p>
        </w:tc>
      </w:tr>
      <w:tr w14:paraId="2AD68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6" w:type="pct"/>
            <w:vMerge w:val="continue"/>
            <w:tcBorders>
              <w:left w:val="single" w:color="auto" w:sz="4" w:space="0"/>
            </w:tcBorders>
            <w:noWrap w:val="0"/>
            <w:vAlign w:val="center"/>
          </w:tcPr>
          <w:p w14:paraId="2245F1A9">
            <w:pPr>
              <w:spacing w:line="320" w:lineRule="exact"/>
              <w:jc w:val="center"/>
              <w:rPr>
                <w:rFonts w:hint="eastAsia" w:asciiTheme="minorEastAsia" w:hAnsiTheme="minorEastAsia" w:eastAsiaTheme="minorEastAsia" w:cstheme="minorEastAsia"/>
                <w:bCs/>
                <w:sz w:val="24"/>
                <w:szCs w:val="24"/>
                <w:lang w:val="en-US" w:eastAsia="zh-CN"/>
              </w:rPr>
            </w:pPr>
          </w:p>
        </w:tc>
        <w:tc>
          <w:tcPr>
            <w:tcW w:w="1364" w:type="pct"/>
            <w:vMerge w:val="continue"/>
            <w:noWrap w:val="0"/>
            <w:vAlign w:val="center"/>
          </w:tcPr>
          <w:p w14:paraId="6560C723">
            <w:pPr>
              <w:spacing w:line="320" w:lineRule="exact"/>
              <w:jc w:val="center"/>
              <w:rPr>
                <w:rFonts w:hint="eastAsia" w:asciiTheme="minorEastAsia" w:hAnsiTheme="minorEastAsia" w:eastAsiaTheme="minorEastAsia" w:cstheme="minorEastAsia"/>
                <w:bCs/>
                <w:sz w:val="24"/>
                <w:szCs w:val="24"/>
                <w:lang w:val="en-US" w:eastAsia="zh-CN"/>
              </w:rPr>
            </w:pPr>
          </w:p>
        </w:tc>
        <w:tc>
          <w:tcPr>
            <w:tcW w:w="707" w:type="pct"/>
            <w:noWrap w:val="0"/>
            <w:vAlign w:val="center"/>
          </w:tcPr>
          <w:p w14:paraId="48D69EF3">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9幢101室约298.67㎡</w:t>
            </w:r>
          </w:p>
        </w:tc>
        <w:tc>
          <w:tcPr>
            <w:tcW w:w="708" w:type="pct"/>
            <w:vMerge w:val="continue"/>
            <w:noWrap w:val="0"/>
            <w:vAlign w:val="center"/>
          </w:tcPr>
          <w:p w14:paraId="03E0F512">
            <w:pPr>
              <w:spacing w:line="320" w:lineRule="exact"/>
              <w:jc w:val="center"/>
              <w:rPr>
                <w:rFonts w:hint="eastAsia" w:asciiTheme="minorEastAsia" w:hAnsiTheme="minorEastAsia" w:eastAsiaTheme="minorEastAsia" w:cstheme="minorEastAsia"/>
                <w:bCs/>
                <w:sz w:val="24"/>
                <w:szCs w:val="24"/>
                <w:lang w:val="en-US" w:eastAsia="zh-CN"/>
              </w:rPr>
            </w:pPr>
          </w:p>
        </w:tc>
        <w:tc>
          <w:tcPr>
            <w:tcW w:w="679" w:type="pct"/>
            <w:vMerge w:val="continue"/>
            <w:tcBorders>
              <w:right w:val="single" w:color="auto" w:sz="4" w:space="0"/>
            </w:tcBorders>
            <w:noWrap w:val="0"/>
            <w:vAlign w:val="center"/>
          </w:tcPr>
          <w:p w14:paraId="30F6ACE9">
            <w:pPr>
              <w:spacing w:line="320" w:lineRule="exact"/>
              <w:jc w:val="center"/>
              <w:rPr>
                <w:rFonts w:hint="eastAsia" w:asciiTheme="minorEastAsia" w:hAnsiTheme="minorEastAsia" w:eastAsiaTheme="minorEastAsia" w:cstheme="minorEastAsia"/>
                <w:bCs/>
                <w:sz w:val="24"/>
                <w:szCs w:val="24"/>
                <w:lang w:val="en-US" w:eastAsia="zh-CN"/>
              </w:rPr>
            </w:pPr>
          </w:p>
        </w:tc>
        <w:tc>
          <w:tcPr>
            <w:tcW w:w="599" w:type="pct"/>
            <w:vMerge w:val="continue"/>
            <w:tcBorders>
              <w:right w:val="single" w:color="auto" w:sz="4" w:space="0"/>
            </w:tcBorders>
            <w:noWrap w:val="0"/>
            <w:vAlign w:val="center"/>
          </w:tcPr>
          <w:p w14:paraId="0DCFE41E">
            <w:pPr>
              <w:spacing w:line="320" w:lineRule="exact"/>
              <w:jc w:val="center"/>
              <w:rPr>
                <w:rFonts w:hint="eastAsia" w:asciiTheme="minorEastAsia" w:hAnsiTheme="minorEastAsia" w:eastAsiaTheme="minorEastAsia" w:cstheme="minorEastAsia"/>
                <w:bCs/>
                <w:sz w:val="24"/>
                <w:szCs w:val="24"/>
                <w:lang w:val="en-US" w:eastAsia="zh-CN"/>
              </w:rPr>
            </w:pPr>
          </w:p>
        </w:tc>
        <w:tc>
          <w:tcPr>
            <w:tcW w:w="594" w:type="pct"/>
            <w:vMerge w:val="continue"/>
            <w:tcBorders>
              <w:right w:val="single" w:color="auto" w:sz="4" w:space="0"/>
            </w:tcBorders>
            <w:noWrap w:val="0"/>
            <w:vAlign w:val="center"/>
          </w:tcPr>
          <w:p w14:paraId="130DDF7E">
            <w:pPr>
              <w:spacing w:line="320" w:lineRule="exact"/>
              <w:jc w:val="center"/>
              <w:rPr>
                <w:rFonts w:hint="eastAsia" w:asciiTheme="minorEastAsia" w:hAnsiTheme="minorEastAsia" w:eastAsiaTheme="minorEastAsia" w:cstheme="minorEastAsia"/>
                <w:bCs/>
                <w:sz w:val="24"/>
                <w:szCs w:val="24"/>
                <w:lang w:val="en-US" w:eastAsia="zh-CN"/>
              </w:rPr>
            </w:pPr>
          </w:p>
        </w:tc>
      </w:tr>
      <w:tr w14:paraId="0F983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8" w:hRule="atLeast"/>
          <w:jc w:val="center"/>
        </w:trPr>
        <w:tc>
          <w:tcPr>
            <w:tcW w:w="346" w:type="pct"/>
            <w:vMerge w:val="continue"/>
            <w:tcBorders>
              <w:left w:val="single" w:color="auto" w:sz="4" w:space="0"/>
            </w:tcBorders>
            <w:noWrap w:val="0"/>
            <w:vAlign w:val="center"/>
          </w:tcPr>
          <w:p w14:paraId="2D956365">
            <w:pPr>
              <w:spacing w:line="320" w:lineRule="exact"/>
              <w:jc w:val="center"/>
              <w:rPr>
                <w:rFonts w:hint="eastAsia" w:asciiTheme="minorEastAsia" w:hAnsiTheme="minorEastAsia" w:eastAsiaTheme="minorEastAsia" w:cstheme="minorEastAsia"/>
                <w:bCs/>
                <w:sz w:val="24"/>
                <w:szCs w:val="24"/>
                <w:lang w:val="en-US" w:eastAsia="zh-CN"/>
              </w:rPr>
            </w:pPr>
          </w:p>
        </w:tc>
        <w:tc>
          <w:tcPr>
            <w:tcW w:w="1364" w:type="pct"/>
            <w:vMerge w:val="continue"/>
            <w:noWrap w:val="0"/>
            <w:vAlign w:val="center"/>
          </w:tcPr>
          <w:p w14:paraId="37B358FD">
            <w:pPr>
              <w:spacing w:line="320" w:lineRule="exact"/>
              <w:jc w:val="center"/>
              <w:rPr>
                <w:rFonts w:hint="eastAsia" w:asciiTheme="minorEastAsia" w:hAnsiTheme="minorEastAsia" w:eastAsiaTheme="minorEastAsia" w:cstheme="minorEastAsia"/>
                <w:bCs/>
                <w:sz w:val="24"/>
                <w:szCs w:val="24"/>
                <w:lang w:val="en-US" w:eastAsia="zh-CN"/>
              </w:rPr>
            </w:pPr>
          </w:p>
        </w:tc>
        <w:tc>
          <w:tcPr>
            <w:tcW w:w="707" w:type="pct"/>
            <w:noWrap w:val="0"/>
            <w:vAlign w:val="center"/>
          </w:tcPr>
          <w:p w14:paraId="3E64DD83">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9幢102室约191.34㎡</w:t>
            </w:r>
          </w:p>
        </w:tc>
        <w:tc>
          <w:tcPr>
            <w:tcW w:w="708" w:type="pct"/>
            <w:vMerge w:val="continue"/>
            <w:noWrap w:val="0"/>
            <w:vAlign w:val="center"/>
          </w:tcPr>
          <w:p w14:paraId="5F583230">
            <w:pPr>
              <w:spacing w:line="320" w:lineRule="exact"/>
              <w:jc w:val="center"/>
              <w:rPr>
                <w:rFonts w:hint="eastAsia" w:asciiTheme="minorEastAsia" w:hAnsiTheme="minorEastAsia" w:eastAsiaTheme="minorEastAsia" w:cstheme="minorEastAsia"/>
                <w:bCs/>
                <w:sz w:val="24"/>
                <w:szCs w:val="24"/>
                <w:lang w:val="en-US" w:eastAsia="zh-CN"/>
              </w:rPr>
            </w:pPr>
          </w:p>
        </w:tc>
        <w:tc>
          <w:tcPr>
            <w:tcW w:w="679" w:type="pct"/>
            <w:vMerge w:val="continue"/>
            <w:tcBorders>
              <w:right w:val="single" w:color="auto" w:sz="4" w:space="0"/>
            </w:tcBorders>
            <w:noWrap w:val="0"/>
            <w:vAlign w:val="center"/>
          </w:tcPr>
          <w:p w14:paraId="78272830">
            <w:pPr>
              <w:spacing w:line="320" w:lineRule="exact"/>
              <w:jc w:val="center"/>
              <w:rPr>
                <w:rFonts w:hint="eastAsia" w:asciiTheme="minorEastAsia" w:hAnsiTheme="minorEastAsia" w:eastAsiaTheme="minorEastAsia" w:cstheme="minorEastAsia"/>
                <w:bCs/>
                <w:sz w:val="24"/>
                <w:szCs w:val="24"/>
                <w:lang w:val="en-US" w:eastAsia="zh-CN"/>
              </w:rPr>
            </w:pPr>
          </w:p>
        </w:tc>
        <w:tc>
          <w:tcPr>
            <w:tcW w:w="599" w:type="pct"/>
            <w:vMerge w:val="continue"/>
            <w:tcBorders>
              <w:right w:val="single" w:color="auto" w:sz="4" w:space="0"/>
            </w:tcBorders>
            <w:noWrap w:val="0"/>
            <w:vAlign w:val="center"/>
          </w:tcPr>
          <w:p w14:paraId="510756E2">
            <w:pPr>
              <w:spacing w:line="320" w:lineRule="exact"/>
              <w:jc w:val="center"/>
              <w:rPr>
                <w:rFonts w:hint="eastAsia" w:asciiTheme="minorEastAsia" w:hAnsiTheme="minorEastAsia" w:eastAsiaTheme="minorEastAsia" w:cstheme="minorEastAsia"/>
                <w:bCs/>
                <w:sz w:val="24"/>
                <w:szCs w:val="24"/>
                <w:lang w:val="en-US" w:eastAsia="zh-CN"/>
              </w:rPr>
            </w:pPr>
          </w:p>
        </w:tc>
        <w:tc>
          <w:tcPr>
            <w:tcW w:w="594" w:type="pct"/>
            <w:vMerge w:val="continue"/>
            <w:tcBorders>
              <w:right w:val="single" w:color="auto" w:sz="4" w:space="0"/>
            </w:tcBorders>
            <w:noWrap w:val="0"/>
            <w:vAlign w:val="center"/>
          </w:tcPr>
          <w:p w14:paraId="46D3678D">
            <w:pPr>
              <w:spacing w:line="320" w:lineRule="exact"/>
              <w:jc w:val="center"/>
              <w:rPr>
                <w:rFonts w:hint="eastAsia" w:asciiTheme="minorEastAsia" w:hAnsiTheme="minorEastAsia" w:eastAsiaTheme="minorEastAsia" w:cstheme="minorEastAsia"/>
                <w:bCs/>
                <w:sz w:val="24"/>
                <w:szCs w:val="24"/>
                <w:lang w:val="en-US" w:eastAsia="zh-CN"/>
              </w:rPr>
            </w:pPr>
          </w:p>
        </w:tc>
      </w:tr>
      <w:tr w14:paraId="127FD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jc w:val="center"/>
        </w:trPr>
        <w:tc>
          <w:tcPr>
            <w:tcW w:w="346" w:type="pct"/>
            <w:tcBorders>
              <w:left w:val="single" w:color="auto" w:sz="4" w:space="0"/>
              <w:right w:val="single" w:color="auto" w:sz="4" w:space="0"/>
            </w:tcBorders>
            <w:noWrap w:val="0"/>
            <w:vAlign w:val="center"/>
          </w:tcPr>
          <w:p w14:paraId="7986149C">
            <w:pPr>
              <w:pStyle w:val="3"/>
              <w:ind w:left="0" w:leftChars="0" w:firstLine="0" w:firstLineChars="0"/>
              <w:jc w:val="center"/>
              <w:rPr>
                <w:rFonts w:hint="default" w:ascii="宋体" w:hAnsi="宋体" w:eastAsia="宋体"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w:t>
            </w:r>
          </w:p>
        </w:tc>
        <w:tc>
          <w:tcPr>
            <w:tcW w:w="1364" w:type="pct"/>
            <w:tcBorders>
              <w:left w:val="single" w:color="auto" w:sz="4" w:space="0"/>
              <w:right w:val="single" w:color="auto" w:sz="4" w:space="0"/>
            </w:tcBorders>
            <w:noWrap w:val="0"/>
            <w:vAlign w:val="center"/>
          </w:tcPr>
          <w:p w14:paraId="5D190FAD">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color w:val="000000" w:themeColor="text1"/>
                <w:sz w:val="24"/>
                <w:szCs w:val="24"/>
                <w:u w:val="none"/>
                <w:lang w:val="en-US" w:eastAsia="zh-CN"/>
                <w14:textFill>
                  <w14:solidFill>
                    <w14:schemeClr w14:val="tx1"/>
                  </w14:solidFill>
                </w14:textFill>
              </w:rPr>
              <w:t>温州市龙湾区永中单元D-06区块(臻鸿华庭)1、2幢201室五年租赁权</w:t>
            </w:r>
          </w:p>
        </w:tc>
        <w:tc>
          <w:tcPr>
            <w:tcW w:w="1415" w:type="pct"/>
            <w:gridSpan w:val="2"/>
            <w:tcBorders>
              <w:left w:val="single" w:color="auto" w:sz="4" w:space="0"/>
              <w:right w:val="single" w:color="auto" w:sz="4" w:space="0"/>
            </w:tcBorders>
            <w:noWrap w:val="0"/>
            <w:vAlign w:val="center"/>
          </w:tcPr>
          <w:p w14:paraId="6A84BF7A">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约1102.57㎡</w:t>
            </w:r>
          </w:p>
        </w:tc>
        <w:tc>
          <w:tcPr>
            <w:tcW w:w="679" w:type="pct"/>
            <w:tcBorders>
              <w:left w:val="single" w:color="auto" w:sz="4" w:space="0"/>
              <w:right w:val="single" w:color="auto" w:sz="4" w:space="0"/>
            </w:tcBorders>
            <w:noWrap w:val="0"/>
            <w:vAlign w:val="center"/>
          </w:tcPr>
          <w:p w14:paraId="3A6FBDDE">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kern w:val="2"/>
                <w:sz w:val="24"/>
                <w:szCs w:val="24"/>
                <w:lang w:val="en-US" w:eastAsia="zh-CN" w:bidi="ar-SA"/>
              </w:rPr>
              <w:t>238155元</w:t>
            </w:r>
          </w:p>
        </w:tc>
        <w:tc>
          <w:tcPr>
            <w:tcW w:w="599" w:type="pct"/>
            <w:tcBorders>
              <w:left w:val="single" w:color="auto" w:sz="4" w:space="0"/>
              <w:right w:val="single" w:color="auto" w:sz="4" w:space="0"/>
            </w:tcBorders>
            <w:noWrap w:val="0"/>
            <w:vAlign w:val="center"/>
          </w:tcPr>
          <w:p w14:paraId="3A9DE117">
            <w:pPr>
              <w:pStyle w:val="3"/>
              <w:ind w:left="0" w:leftChars="0" w:firstLine="0" w:firstLineChars="0"/>
              <w:jc w:val="center"/>
              <w:rPr>
                <w:rFonts w:hint="default" w:ascii="宋体" w:hAnsi="宋体" w:eastAsia="宋体"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23万元</w:t>
            </w:r>
          </w:p>
        </w:tc>
        <w:tc>
          <w:tcPr>
            <w:tcW w:w="594" w:type="pct"/>
            <w:tcBorders>
              <w:left w:val="single" w:color="auto" w:sz="4" w:space="0"/>
              <w:right w:val="single" w:color="auto" w:sz="4" w:space="0"/>
            </w:tcBorders>
            <w:noWrap w:val="0"/>
            <w:vAlign w:val="center"/>
          </w:tcPr>
          <w:p w14:paraId="3F13091C">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3万元</w:t>
            </w:r>
          </w:p>
        </w:tc>
      </w:tr>
      <w:tr w14:paraId="7ED78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jc w:val="center"/>
        </w:trPr>
        <w:tc>
          <w:tcPr>
            <w:tcW w:w="5000" w:type="pct"/>
            <w:gridSpan w:val="7"/>
            <w:tcBorders>
              <w:left w:val="single" w:color="auto" w:sz="4" w:space="0"/>
              <w:right w:val="single" w:color="auto" w:sz="4" w:space="0"/>
            </w:tcBorders>
            <w:noWrap w:val="0"/>
            <w:vAlign w:val="center"/>
          </w:tcPr>
          <w:p w14:paraId="2CF257E5">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1、租期5年，租金（不含税）一年一付，先付后用，第1-3年租金为竞价成交价，第4-5年的租金在第3年租金的基础上递增3%。</w:t>
            </w:r>
          </w:p>
          <w:p w14:paraId="17CCD4C7">
            <w:pPr>
              <w:pStyle w:val="3"/>
              <w:ind w:left="0" w:leftChars="0" w:firstLine="480" w:firstLineChars="200"/>
              <w:rPr>
                <w:rFonts w:hint="eastAsia"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2、一号标的设1个月装修期，二号标的设2个月装修期，均不计租金及租期。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314960</wp:posOffset>
            </wp:positionH>
            <wp:positionV relativeFrom="paragraph">
              <wp:posOffset>24765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875" w:firstLineChars="198"/>
        <w:jc w:val="left"/>
        <w:textAlignment w:val="auto"/>
        <w:rPr>
          <w:rFonts w:ascii="宋体" w:hAnsi="宋体" w:cs="宋体"/>
          <w:color w:val="auto"/>
          <w:sz w:val="24"/>
          <w:szCs w:val="24"/>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410845</wp:posOffset>
            </wp:positionH>
            <wp:positionV relativeFrom="paragraph">
              <wp:posOffset>202565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2025年4月2</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2025年5月</w:t>
      </w:r>
      <w:r>
        <w:rPr>
          <w:rFonts w:hint="eastAsia" w:ascii="宋体" w:hAnsi="宋体"/>
          <w:color w:val="auto"/>
          <w:spacing w:val="-2"/>
          <w:sz w:val="24"/>
          <w:highlight w:val="none"/>
          <w:lang w:val="en-US" w:eastAsia="zh-CN"/>
        </w:rPr>
        <w:t>8</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租金（不含税）一年一付，先付后用，租赁期内租金不递增</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5月15</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bCs/>
          <w:kern w:val="2"/>
          <w:sz w:val="24"/>
          <w:szCs w:val="24"/>
          <w:lang w:val="en-US" w:eastAsia="zh-CN" w:bidi="ar-SA"/>
        </w:rPr>
        <w:t>永中街道上京</w:t>
      </w:r>
      <w:r>
        <w:rPr>
          <w:rFonts w:hint="eastAsia" w:ascii="宋体" w:hAnsi="宋体"/>
          <w:color w:val="auto"/>
          <w:sz w:val="24"/>
          <w:highlight w:val="none"/>
          <w:lang w:eastAsia="zh-CN"/>
        </w:rPr>
        <w:t>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2025年5月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bookmarkStart w:id="1" w:name="_GoBack"/>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488315</wp:posOffset>
            </wp:positionH>
            <wp:positionV relativeFrom="paragraph">
              <wp:posOffset>179070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bookmarkEnd w:id="1"/>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温州市龙湾区永中街道上京村股份经济合作社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787C0FCD">
      <w:pPr>
        <w:pStyle w:val="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宋体" w:hAnsi="宋体" w:cs="宋体"/>
          <w:b/>
          <w:color w:val="auto"/>
          <w:sz w:val="24"/>
          <w:szCs w:val="24"/>
          <w:highlight w:val="none"/>
          <w:lang w:val="en-US" w:eastAsia="zh-CN"/>
        </w:rPr>
      </w:pPr>
      <w:r>
        <w:rPr>
          <w:rFonts w:hint="eastAsia" w:cs="宋体"/>
          <w:sz w:val="24"/>
          <w:szCs w:val="24"/>
          <w:highlight w:val="none"/>
          <w:lang w:val="en-US" w:eastAsia="zh-CN"/>
        </w:rPr>
        <w:t>（</w:t>
      </w:r>
      <w:r>
        <w:rPr>
          <w:rFonts w:hint="eastAsia" w:ascii="宋体" w:hAnsi="宋体" w:eastAsia="宋体" w:cs="宋体"/>
          <w:sz w:val="24"/>
          <w:szCs w:val="24"/>
          <w:highlight w:val="none"/>
          <w:lang w:val="en-US" w:eastAsia="zh-CN"/>
        </w:rPr>
        <w:t>一</w:t>
      </w:r>
      <w:r>
        <w:rPr>
          <w:rFonts w:hint="eastAsia" w:cs="宋体"/>
          <w:sz w:val="24"/>
          <w:szCs w:val="24"/>
          <w:highlight w:val="none"/>
          <w:lang w:val="en-US"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413E741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2A1D099E">
      <w:pPr>
        <w:pStyle w:val="4"/>
        <w:spacing w:line="380" w:lineRule="exact"/>
        <w:rPr>
          <w:rFonts w:hint="default"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4.</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第1-3年租金不变，第4-5年的租金在第3年租金的基础上递增3%</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上京村永中单元租赁项目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82816"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FC5649B">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3F4826"/>
    <w:rsid w:val="05773E49"/>
    <w:rsid w:val="06092268"/>
    <w:rsid w:val="0B57681E"/>
    <w:rsid w:val="0FFC1742"/>
    <w:rsid w:val="137A57A0"/>
    <w:rsid w:val="137F6218"/>
    <w:rsid w:val="145C30F7"/>
    <w:rsid w:val="15316332"/>
    <w:rsid w:val="1797031B"/>
    <w:rsid w:val="180F7322"/>
    <w:rsid w:val="181B7855"/>
    <w:rsid w:val="18B67897"/>
    <w:rsid w:val="1B43776B"/>
    <w:rsid w:val="1B871827"/>
    <w:rsid w:val="1C1E1BAB"/>
    <w:rsid w:val="1CB03DF7"/>
    <w:rsid w:val="1EF82139"/>
    <w:rsid w:val="1FB0010B"/>
    <w:rsid w:val="209061C6"/>
    <w:rsid w:val="22974B03"/>
    <w:rsid w:val="22EF57B4"/>
    <w:rsid w:val="23A10665"/>
    <w:rsid w:val="24C30629"/>
    <w:rsid w:val="24FC6C21"/>
    <w:rsid w:val="251A0B90"/>
    <w:rsid w:val="262502D3"/>
    <w:rsid w:val="26F03C3F"/>
    <w:rsid w:val="2E443CD9"/>
    <w:rsid w:val="301138F8"/>
    <w:rsid w:val="312E1520"/>
    <w:rsid w:val="333D173D"/>
    <w:rsid w:val="3375264B"/>
    <w:rsid w:val="33C650BD"/>
    <w:rsid w:val="36676139"/>
    <w:rsid w:val="36716136"/>
    <w:rsid w:val="36D27916"/>
    <w:rsid w:val="37893554"/>
    <w:rsid w:val="3957222B"/>
    <w:rsid w:val="3A034EA8"/>
    <w:rsid w:val="3DEC4B39"/>
    <w:rsid w:val="405A7C3B"/>
    <w:rsid w:val="44727C49"/>
    <w:rsid w:val="46CF2C6D"/>
    <w:rsid w:val="46F52BC5"/>
    <w:rsid w:val="491D1E84"/>
    <w:rsid w:val="4B653631"/>
    <w:rsid w:val="4B7D3443"/>
    <w:rsid w:val="4E4B5067"/>
    <w:rsid w:val="4E6F4B7C"/>
    <w:rsid w:val="4E7E7CA6"/>
    <w:rsid w:val="4E8314AE"/>
    <w:rsid w:val="4F7F76BE"/>
    <w:rsid w:val="4F894E59"/>
    <w:rsid w:val="4FD57E9D"/>
    <w:rsid w:val="502344EE"/>
    <w:rsid w:val="54113319"/>
    <w:rsid w:val="548C0FD9"/>
    <w:rsid w:val="54971006"/>
    <w:rsid w:val="55631913"/>
    <w:rsid w:val="55832C1B"/>
    <w:rsid w:val="56731069"/>
    <w:rsid w:val="5943350B"/>
    <w:rsid w:val="594A0FC2"/>
    <w:rsid w:val="5A3D43FE"/>
    <w:rsid w:val="5A7B6781"/>
    <w:rsid w:val="5B3663E0"/>
    <w:rsid w:val="5C616110"/>
    <w:rsid w:val="5CB57990"/>
    <w:rsid w:val="5FDC6467"/>
    <w:rsid w:val="61B52ACC"/>
    <w:rsid w:val="624714FE"/>
    <w:rsid w:val="64963FE0"/>
    <w:rsid w:val="66032CB1"/>
    <w:rsid w:val="67FD341E"/>
    <w:rsid w:val="69C70C11"/>
    <w:rsid w:val="6B835EC1"/>
    <w:rsid w:val="6CB111E1"/>
    <w:rsid w:val="6ED918DD"/>
    <w:rsid w:val="6EDC3D8E"/>
    <w:rsid w:val="6EED57F2"/>
    <w:rsid w:val="6F2A2D4B"/>
    <w:rsid w:val="6FC8405E"/>
    <w:rsid w:val="7072514B"/>
    <w:rsid w:val="74FD05BA"/>
    <w:rsid w:val="75470D70"/>
    <w:rsid w:val="779276DF"/>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11676</Words>
  <Characters>12119</Characters>
  <Lines>0</Lines>
  <Paragraphs>0</Paragraphs>
  <TotalTime>0</TotalTime>
  <ScaleCrop>false</ScaleCrop>
  <LinksUpToDate>false</LinksUpToDate>
  <CharactersWithSpaces>13370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2025-04-28T06:44:55Z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52E946B5BB6B4C95BDA69F142026D06B_13</vt:lpwstr>
  </property>
  <property fmtid="{D5CDD505-2E9C-101B-9397-08002B2CF9AE}" pid="4" name="KSOTemplateDocerSaveRecord">
    <vt:lpwstr>eyJoZGlkIjoiNjkzNzY2ODI0NTRlMDg1NTUzNmE2YWY4ZWJjMjE2MDMiLCJ1c2VySWQiOiIxNTk0MDAzNDA5In0=</vt:lpwstr>
  </property>
</Properties>
</file>