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温州市龙湾区永中街道永中西路永宏锦园3幢二层五年租赁权竞价文件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2025年6月12日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温州市龙湾区永中街道永中西路永宏锦园3幢二层五年租赁权竞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19</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2025年6月20日上午9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温州市龙湾区永中街道永中西路永宏锦园3幢二层五年租赁权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3342"/>
        <w:gridCol w:w="1689"/>
        <w:gridCol w:w="2292"/>
        <w:gridCol w:w="1261"/>
        <w:gridCol w:w="1331"/>
      </w:tblGrid>
      <w:tr w14:paraId="0D3C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5" w:type="pct"/>
            <w:tcBorders>
              <w:left w:val="single" w:color="auto" w:sz="4" w:space="0"/>
            </w:tcBorders>
            <w:noWrap w:val="0"/>
            <w:vAlign w:val="center"/>
          </w:tcPr>
          <w:p w14:paraId="369BB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53AA3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9" w:type="pct"/>
            <w:noWrap w:val="0"/>
            <w:vAlign w:val="center"/>
          </w:tcPr>
          <w:p w14:paraId="08B45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793" w:type="pct"/>
            <w:noWrap w:val="0"/>
            <w:vAlign w:val="center"/>
          </w:tcPr>
          <w:p w14:paraId="20E9D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6" w:type="pct"/>
            <w:tcBorders>
              <w:right w:val="single" w:color="auto" w:sz="4" w:space="0"/>
            </w:tcBorders>
            <w:noWrap w:val="0"/>
            <w:vAlign w:val="center"/>
          </w:tcPr>
          <w:p w14:paraId="7AE2C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A522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92" w:type="pct"/>
            <w:tcBorders>
              <w:right w:val="single" w:color="auto" w:sz="4" w:space="0"/>
            </w:tcBorders>
            <w:noWrap w:val="0"/>
            <w:vAlign w:val="center"/>
          </w:tcPr>
          <w:p w14:paraId="6202E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2A087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c>
          <w:tcPr>
            <w:tcW w:w="623" w:type="pct"/>
            <w:tcBorders>
              <w:right w:val="single" w:color="auto" w:sz="4" w:space="0"/>
            </w:tcBorders>
            <w:noWrap w:val="0"/>
            <w:vAlign w:val="center"/>
          </w:tcPr>
          <w:p w14:paraId="1807B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交易年限</w:t>
            </w:r>
          </w:p>
        </w:tc>
      </w:tr>
      <w:tr w14:paraId="4A596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345" w:type="pct"/>
            <w:tcBorders>
              <w:left w:val="single" w:color="auto" w:sz="4" w:space="0"/>
              <w:right w:val="single" w:color="auto" w:sz="4" w:space="0"/>
            </w:tcBorders>
            <w:noWrap w:val="0"/>
            <w:vAlign w:val="center"/>
          </w:tcPr>
          <w:p w14:paraId="6C4351F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9" w:type="pct"/>
            <w:tcBorders>
              <w:left w:val="single" w:color="auto" w:sz="4" w:space="0"/>
              <w:right w:val="single" w:color="auto" w:sz="4" w:space="0"/>
            </w:tcBorders>
            <w:noWrap w:val="0"/>
            <w:vAlign w:val="center"/>
          </w:tcPr>
          <w:p w14:paraId="14C6B6EE">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温州市龙湾区永中街道永中西路永宏锦园3幢二层五年租赁权</w:t>
            </w:r>
          </w:p>
        </w:tc>
        <w:tc>
          <w:tcPr>
            <w:tcW w:w="793" w:type="pct"/>
            <w:tcBorders>
              <w:left w:val="single" w:color="auto" w:sz="4" w:space="0"/>
              <w:right w:val="single" w:color="auto" w:sz="4" w:space="0"/>
            </w:tcBorders>
            <w:noWrap w:val="0"/>
            <w:vAlign w:val="center"/>
          </w:tcPr>
          <w:p w14:paraId="60964BA3">
            <w:pPr>
              <w:pStyle w:val="3"/>
              <w:ind w:left="0" w:leftChars="0" w:firstLine="0" w:firstLineChars="0"/>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w:t>
            </w:r>
            <w:r>
              <w:rPr>
                <w:rFonts w:hint="eastAsia" w:cs="宋体"/>
                <w:bCs/>
                <w:color w:val="000000" w:themeColor="text1"/>
                <w:sz w:val="24"/>
                <w:szCs w:val="24"/>
                <w:lang w:val="en-US" w:eastAsia="zh-CN"/>
                <w14:textFill>
                  <w14:solidFill>
                    <w14:schemeClr w14:val="tx1"/>
                  </w14:solidFill>
                </w14:textFill>
              </w:rPr>
              <w:t>765</w:t>
            </w:r>
            <w:r>
              <w:rPr>
                <w:rFonts w:hint="eastAsia" w:ascii="宋体" w:hAnsi="宋体" w:eastAsia="宋体" w:cs="宋体"/>
                <w:bCs/>
                <w:color w:val="000000" w:themeColor="text1"/>
                <w:sz w:val="24"/>
                <w:szCs w:val="24"/>
                <w:lang w:val="en-US" w:eastAsia="zh-CN"/>
                <w14:textFill>
                  <w14:solidFill>
                    <w14:schemeClr w14:val="tx1"/>
                  </w14:solidFill>
                </w14:textFill>
              </w:rPr>
              <w:t>㎡</w:t>
            </w:r>
          </w:p>
        </w:tc>
        <w:tc>
          <w:tcPr>
            <w:tcW w:w="1076" w:type="pct"/>
            <w:tcBorders>
              <w:left w:val="single" w:color="auto" w:sz="4" w:space="0"/>
              <w:right w:val="single" w:color="auto" w:sz="4" w:space="0"/>
            </w:tcBorders>
            <w:noWrap w:val="0"/>
            <w:vAlign w:val="center"/>
          </w:tcPr>
          <w:p w14:paraId="656514D0">
            <w:pPr>
              <w:pStyle w:val="3"/>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165240元</w:t>
            </w:r>
          </w:p>
        </w:tc>
        <w:tc>
          <w:tcPr>
            <w:tcW w:w="592" w:type="pct"/>
            <w:tcBorders>
              <w:left w:val="single" w:color="auto" w:sz="4" w:space="0"/>
              <w:right w:val="single" w:color="auto" w:sz="4" w:space="0"/>
            </w:tcBorders>
            <w:noWrap w:val="0"/>
            <w:vAlign w:val="center"/>
          </w:tcPr>
          <w:p w14:paraId="4BF5AD01">
            <w:pPr>
              <w:pStyle w:val="3"/>
              <w:ind w:left="0" w:leftChars="0" w:firstLine="0" w:firstLineChars="0"/>
              <w:jc w:val="center"/>
              <w:rPr>
                <w:rFonts w:hint="eastAsia" w:cs="宋体"/>
                <w:color w:val="000000" w:themeColor="text1"/>
                <w:sz w:val="24"/>
                <w:szCs w:val="24"/>
                <w:u w:val="none"/>
                <w:lang w:val="en-US" w:eastAsia="zh-CN"/>
                <w14:textFill>
                  <w14:solidFill>
                    <w14:schemeClr w14:val="tx1"/>
                  </w14:solidFill>
                </w14:textFill>
              </w:rPr>
            </w:pPr>
            <w:r>
              <w:rPr>
                <w:rFonts w:hint="eastAsia" w:cs="宋体"/>
                <w:kern w:val="2"/>
                <w:sz w:val="24"/>
                <w:szCs w:val="24"/>
                <w:lang w:val="en-US" w:eastAsia="zh-CN" w:bidi="ar-SA"/>
              </w:rPr>
              <w:t>14</w:t>
            </w:r>
            <w:r>
              <w:rPr>
                <w:rFonts w:hint="eastAsia" w:ascii="宋体" w:hAnsi="宋体" w:eastAsia="宋体" w:cs="宋体"/>
                <w:kern w:val="2"/>
                <w:sz w:val="24"/>
                <w:szCs w:val="24"/>
                <w:lang w:val="en-US" w:eastAsia="zh-CN" w:bidi="ar-SA"/>
              </w:rPr>
              <w:t>万元</w:t>
            </w:r>
          </w:p>
        </w:tc>
        <w:tc>
          <w:tcPr>
            <w:tcW w:w="623" w:type="pct"/>
            <w:tcBorders>
              <w:left w:val="single" w:color="auto" w:sz="4" w:space="0"/>
              <w:right w:val="single" w:color="auto" w:sz="4" w:space="0"/>
            </w:tcBorders>
            <w:noWrap w:val="0"/>
            <w:vAlign w:val="center"/>
          </w:tcPr>
          <w:p w14:paraId="1E4A92D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5年</w:t>
            </w:r>
          </w:p>
        </w:tc>
      </w:tr>
      <w:tr w14:paraId="739EE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5000" w:type="pct"/>
            <w:gridSpan w:val="6"/>
            <w:tcBorders>
              <w:left w:val="single" w:color="auto" w:sz="4" w:space="0"/>
              <w:right w:val="single" w:color="auto" w:sz="4" w:space="0"/>
            </w:tcBorders>
            <w:noWrap w:val="0"/>
            <w:vAlign w:val="center"/>
          </w:tcPr>
          <w:p w14:paraId="1F92A261">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1、租期5年，第1-3年租金不变，第4-5年租金在第3年租金的基础上递增2%，租金(不含税）一年一付，先付后用。</w:t>
            </w:r>
          </w:p>
          <w:p w14:paraId="034AE9EA">
            <w:pPr>
              <w:pStyle w:val="3"/>
              <w:ind w:left="0" w:leftChars="0" w:firstLine="480" w:firstLineChars="200"/>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2、装修期</w:t>
            </w:r>
            <w:r>
              <w:rPr>
                <w:rFonts w:hint="eastAsia" w:cs="宋体"/>
                <w:bCs/>
                <w:kern w:val="2"/>
                <w:sz w:val="24"/>
                <w:szCs w:val="24"/>
                <w:highlight w:val="none"/>
                <w:lang w:val="en-US" w:eastAsia="zh-CN" w:bidi="ar"/>
              </w:rPr>
              <w:t>50</w:t>
            </w:r>
            <w:r>
              <w:rPr>
                <w:rFonts w:hint="eastAsia" w:ascii="宋体" w:hAnsi="宋体" w:cs="宋体"/>
                <w:bCs/>
                <w:kern w:val="2"/>
                <w:sz w:val="24"/>
                <w:szCs w:val="24"/>
                <w:highlight w:val="none"/>
                <w:lang w:val="en-US" w:eastAsia="zh-CN" w:bidi="ar"/>
              </w:rPr>
              <w:t>日，不计租期及租金，原承租人不享有装修期。</w:t>
            </w:r>
          </w:p>
          <w:p w14:paraId="7DBF422B">
            <w:pPr>
              <w:pStyle w:val="3"/>
              <w:ind w:left="0" w:leftChars="0" w:firstLine="480" w:firstLineChars="200"/>
              <w:rPr>
                <w:rFonts w:hint="default" w:ascii="宋体" w:hAnsi="宋体" w:cs="宋体"/>
                <w:bCs/>
                <w:kern w:val="2"/>
                <w:sz w:val="24"/>
                <w:szCs w:val="24"/>
                <w:highlight w:val="none"/>
                <w:lang w:val="en-US" w:eastAsia="zh-CN" w:bidi="ar"/>
              </w:rPr>
            </w:pPr>
            <w:r>
              <w:rPr>
                <w:rFonts w:hint="eastAsia" w:cs="宋体"/>
                <w:bCs/>
                <w:kern w:val="2"/>
                <w:sz w:val="24"/>
                <w:szCs w:val="24"/>
                <w:highlight w:val="none"/>
                <w:lang w:val="en-US" w:eastAsia="zh-CN" w:bidi="ar"/>
              </w:rPr>
              <w:t>3、</w:t>
            </w:r>
            <w:r>
              <w:rPr>
                <w:rFonts w:hint="eastAsia" w:ascii="宋体" w:hAnsi="宋体" w:eastAsia="宋体" w:cs="宋体"/>
                <w:color w:val="000000" w:themeColor="text1"/>
                <w:kern w:val="2"/>
                <w:sz w:val="24"/>
                <w:szCs w:val="24"/>
                <w:lang w:val="en-US" w:eastAsia="zh-CN" w:bidi="ar-SA"/>
                <w14:textFill>
                  <w14:solidFill>
                    <w14:schemeClr w14:val="tx1"/>
                  </w14:solidFill>
                </w14:textFill>
              </w:rPr>
              <w:t>经营业态为商业，</w:t>
            </w:r>
            <w:r>
              <w:rPr>
                <w:rFonts w:hint="eastAsia" w:ascii="宋体" w:hAnsi="宋体" w:cs="宋体"/>
                <w:sz w:val="24"/>
                <w:szCs w:val="24"/>
                <w:highlight w:val="none"/>
                <w:lang w:val="en-US" w:eastAsia="zh-CN"/>
              </w:rPr>
              <w:t>禁止餐饮业入驻。</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寺西村租赁项目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897" w:firstLineChars="203"/>
        <w:jc w:val="right"/>
        <w:textAlignment w:val="auto"/>
        <w:rPr>
          <w:rFonts w:hint="eastAsia" w:ascii="宋体" w:hAnsi="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3840" behindDoc="1" locked="0" layoutInCell="1" allowOverlap="1">
            <wp:simplePos x="0" y="0"/>
            <wp:positionH relativeFrom="column">
              <wp:posOffset>549275</wp:posOffset>
            </wp:positionH>
            <wp:positionV relativeFrom="paragraph">
              <wp:posOffset>233045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温州市龙湾区永中街道寺西村股份经济合作社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2025年6月12日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2025年6月12日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19</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eastAsia"/>
          <w:b w:val="0"/>
          <w:bCs w:val="0"/>
          <w:color w:val="auto"/>
          <w:sz w:val="24"/>
          <w:highlight w:val="none"/>
          <w:lang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永中街道寺西</w:t>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3342"/>
        <w:gridCol w:w="1689"/>
        <w:gridCol w:w="2292"/>
        <w:gridCol w:w="1261"/>
        <w:gridCol w:w="1331"/>
      </w:tblGrid>
      <w:tr w14:paraId="26244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5" w:type="pct"/>
            <w:tcBorders>
              <w:left w:val="single" w:color="auto" w:sz="4" w:space="0"/>
            </w:tcBorders>
            <w:noWrap w:val="0"/>
            <w:vAlign w:val="center"/>
          </w:tcPr>
          <w:p w14:paraId="095ACC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986EF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9" w:type="pct"/>
            <w:noWrap w:val="0"/>
            <w:vAlign w:val="center"/>
          </w:tcPr>
          <w:p w14:paraId="25653C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793" w:type="pct"/>
            <w:noWrap w:val="0"/>
            <w:vAlign w:val="center"/>
          </w:tcPr>
          <w:p w14:paraId="12C0E6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6" w:type="pct"/>
            <w:tcBorders>
              <w:right w:val="single" w:color="auto" w:sz="4" w:space="0"/>
            </w:tcBorders>
            <w:noWrap w:val="0"/>
            <w:vAlign w:val="center"/>
          </w:tcPr>
          <w:p w14:paraId="52A99F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71B47D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92" w:type="pct"/>
            <w:tcBorders>
              <w:right w:val="single" w:color="auto" w:sz="4" w:space="0"/>
            </w:tcBorders>
            <w:noWrap w:val="0"/>
            <w:vAlign w:val="center"/>
          </w:tcPr>
          <w:p w14:paraId="288264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5FBFA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c>
          <w:tcPr>
            <w:tcW w:w="623" w:type="pct"/>
            <w:tcBorders>
              <w:right w:val="single" w:color="auto" w:sz="4" w:space="0"/>
            </w:tcBorders>
            <w:noWrap w:val="0"/>
            <w:vAlign w:val="center"/>
          </w:tcPr>
          <w:p w14:paraId="0C1ABB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交易年限</w:t>
            </w:r>
          </w:p>
        </w:tc>
      </w:tr>
      <w:tr w14:paraId="3FB64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345" w:type="pct"/>
            <w:tcBorders>
              <w:left w:val="single" w:color="auto" w:sz="4" w:space="0"/>
              <w:right w:val="single" w:color="auto" w:sz="4" w:space="0"/>
            </w:tcBorders>
            <w:noWrap w:val="0"/>
            <w:vAlign w:val="center"/>
          </w:tcPr>
          <w:p w14:paraId="06B5F96D">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9" w:type="pct"/>
            <w:tcBorders>
              <w:left w:val="single" w:color="auto" w:sz="4" w:space="0"/>
              <w:right w:val="single" w:color="auto" w:sz="4" w:space="0"/>
            </w:tcBorders>
            <w:noWrap w:val="0"/>
            <w:vAlign w:val="center"/>
          </w:tcPr>
          <w:p w14:paraId="4D0B6344">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温州市龙湾区永中街道永中西路永宏锦园3幢二层五年租赁权</w:t>
            </w:r>
          </w:p>
        </w:tc>
        <w:tc>
          <w:tcPr>
            <w:tcW w:w="793" w:type="pct"/>
            <w:tcBorders>
              <w:left w:val="single" w:color="auto" w:sz="4" w:space="0"/>
              <w:right w:val="single" w:color="auto" w:sz="4" w:space="0"/>
            </w:tcBorders>
            <w:noWrap w:val="0"/>
            <w:vAlign w:val="center"/>
          </w:tcPr>
          <w:p w14:paraId="630B5AF8">
            <w:pPr>
              <w:pStyle w:val="3"/>
              <w:ind w:left="0" w:leftChars="0" w:firstLine="0" w:firstLineChars="0"/>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w:t>
            </w:r>
            <w:r>
              <w:rPr>
                <w:rFonts w:hint="eastAsia" w:cs="宋体"/>
                <w:bCs/>
                <w:color w:val="000000" w:themeColor="text1"/>
                <w:sz w:val="24"/>
                <w:szCs w:val="24"/>
                <w:lang w:val="en-US" w:eastAsia="zh-CN"/>
                <w14:textFill>
                  <w14:solidFill>
                    <w14:schemeClr w14:val="tx1"/>
                  </w14:solidFill>
                </w14:textFill>
              </w:rPr>
              <w:t>765</w:t>
            </w:r>
            <w:r>
              <w:rPr>
                <w:rFonts w:hint="eastAsia" w:ascii="宋体" w:hAnsi="宋体" w:eastAsia="宋体" w:cs="宋体"/>
                <w:bCs/>
                <w:color w:val="000000" w:themeColor="text1"/>
                <w:sz w:val="24"/>
                <w:szCs w:val="24"/>
                <w:lang w:val="en-US" w:eastAsia="zh-CN"/>
                <w14:textFill>
                  <w14:solidFill>
                    <w14:schemeClr w14:val="tx1"/>
                  </w14:solidFill>
                </w14:textFill>
              </w:rPr>
              <w:t>㎡</w:t>
            </w:r>
          </w:p>
        </w:tc>
        <w:tc>
          <w:tcPr>
            <w:tcW w:w="1076" w:type="pct"/>
            <w:tcBorders>
              <w:left w:val="single" w:color="auto" w:sz="4" w:space="0"/>
              <w:right w:val="single" w:color="auto" w:sz="4" w:space="0"/>
            </w:tcBorders>
            <w:noWrap w:val="0"/>
            <w:vAlign w:val="center"/>
          </w:tcPr>
          <w:p w14:paraId="2BAECA69">
            <w:pPr>
              <w:pStyle w:val="3"/>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165240元</w:t>
            </w:r>
          </w:p>
        </w:tc>
        <w:tc>
          <w:tcPr>
            <w:tcW w:w="592" w:type="pct"/>
            <w:tcBorders>
              <w:left w:val="single" w:color="auto" w:sz="4" w:space="0"/>
              <w:right w:val="single" w:color="auto" w:sz="4" w:space="0"/>
            </w:tcBorders>
            <w:noWrap w:val="0"/>
            <w:vAlign w:val="center"/>
          </w:tcPr>
          <w:p w14:paraId="14D73322">
            <w:pPr>
              <w:pStyle w:val="3"/>
              <w:ind w:left="0" w:leftChars="0" w:firstLine="0" w:firstLineChars="0"/>
              <w:jc w:val="center"/>
              <w:rPr>
                <w:rFonts w:hint="eastAsia" w:cs="宋体"/>
                <w:color w:val="000000" w:themeColor="text1"/>
                <w:sz w:val="24"/>
                <w:szCs w:val="24"/>
                <w:u w:val="none"/>
                <w:lang w:val="en-US" w:eastAsia="zh-CN"/>
                <w14:textFill>
                  <w14:solidFill>
                    <w14:schemeClr w14:val="tx1"/>
                  </w14:solidFill>
                </w14:textFill>
              </w:rPr>
            </w:pPr>
            <w:r>
              <w:rPr>
                <w:rFonts w:hint="eastAsia" w:cs="宋体"/>
                <w:kern w:val="2"/>
                <w:sz w:val="24"/>
                <w:szCs w:val="24"/>
                <w:lang w:val="en-US" w:eastAsia="zh-CN" w:bidi="ar-SA"/>
              </w:rPr>
              <w:t>14</w:t>
            </w:r>
            <w:r>
              <w:rPr>
                <w:rFonts w:hint="eastAsia" w:ascii="宋体" w:hAnsi="宋体" w:eastAsia="宋体" w:cs="宋体"/>
                <w:kern w:val="2"/>
                <w:sz w:val="24"/>
                <w:szCs w:val="24"/>
                <w:lang w:val="en-US" w:eastAsia="zh-CN" w:bidi="ar-SA"/>
              </w:rPr>
              <w:t>万元</w:t>
            </w:r>
          </w:p>
        </w:tc>
        <w:tc>
          <w:tcPr>
            <w:tcW w:w="623" w:type="pct"/>
            <w:tcBorders>
              <w:left w:val="single" w:color="auto" w:sz="4" w:space="0"/>
              <w:right w:val="single" w:color="auto" w:sz="4" w:space="0"/>
            </w:tcBorders>
            <w:noWrap w:val="0"/>
            <w:vAlign w:val="center"/>
          </w:tcPr>
          <w:p w14:paraId="02255C48">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5年</w:t>
            </w:r>
          </w:p>
        </w:tc>
      </w:tr>
      <w:tr w14:paraId="638FE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5000" w:type="pct"/>
            <w:gridSpan w:val="6"/>
            <w:tcBorders>
              <w:left w:val="single" w:color="auto" w:sz="4" w:space="0"/>
              <w:right w:val="single" w:color="auto" w:sz="4" w:space="0"/>
            </w:tcBorders>
            <w:noWrap w:val="0"/>
            <w:vAlign w:val="center"/>
          </w:tcPr>
          <w:p w14:paraId="1D56F8FE">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1、租期5年，第1-3年租金不变，第4-5年租金在第3年租金的基础上递增2%，租金(不含税）一年一付，先付后用。</w:t>
            </w:r>
          </w:p>
          <w:p w14:paraId="7C087EB6">
            <w:pPr>
              <w:pStyle w:val="3"/>
              <w:ind w:left="0" w:leftChars="0" w:firstLine="480" w:firstLineChars="200"/>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2、装修期</w:t>
            </w:r>
            <w:r>
              <w:rPr>
                <w:rFonts w:hint="eastAsia" w:cs="宋体"/>
                <w:bCs/>
                <w:kern w:val="2"/>
                <w:sz w:val="24"/>
                <w:szCs w:val="24"/>
                <w:highlight w:val="none"/>
                <w:lang w:val="en-US" w:eastAsia="zh-CN" w:bidi="ar"/>
              </w:rPr>
              <w:t>50</w:t>
            </w:r>
            <w:r>
              <w:rPr>
                <w:rFonts w:hint="eastAsia" w:ascii="宋体" w:hAnsi="宋体" w:cs="宋体"/>
                <w:bCs/>
                <w:kern w:val="2"/>
                <w:sz w:val="24"/>
                <w:szCs w:val="24"/>
                <w:highlight w:val="none"/>
                <w:lang w:val="en-US" w:eastAsia="zh-CN" w:bidi="ar"/>
              </w:rPr>
              <w:t>日，不计租期及租金，原承租人不享有装修期。</w:t>
            </w:r>
          </w:p>
          <w:p w14:paraId="5D19ED7D">
            <w:pPr>
              <w:pStyle w:val="3"/>
              <w:ind w:left="0" w:leftChars="0" w:firstLine="480" w:firstLineChars="200"/>
              <w:rPr>
                <w:rFonts w:hint="default" w:ascii="宋体" w:hAnsi="宋体" w:cs="宋体"/>
                <w:bCs/>
                <w:kern w:val="2"/>
                <w:sz w:val="24"/>
                <w:szCs w:val="24"/>
                <w:highlight w:val="none"/>
                <w:lang w:val="en-US" w:eastAsia="zh-CN" w:bidi="ar"/>
              </w:rPr>
            </w:pPr>
            <w:r>
              <w:rPr>
                <w:rFonts w:hint="eastAsia" w:cs="宋体"/>
                <w:bCs/>
                <w:kern w:val="2"/>
                <w:sz w:val="24"/>
                <w:szCs w:val="24"/>
                <w:highlight w:val="none"/>
                <w:lang w:val="en-US" w:eastAsia="zh-CN" w:bidi="ar"/>
              </w:rPr>
              <w:t>3、</w:t>
            </w:r>
            <w:r>
              <w:rPr>
                <w:rFonts w:hint="eastAsia" w:ascii="宋体" w:hAnsi="宋体" w:eastAsia="宋体" w:cs="宋体"/>
                <w:color w:val="000000" w:themeColor="text1"/>
                <w:kern w:val="2"/>
                <w:sz w:val="24"/>
                <w:szCs w:val="24"/>
                <w:lang w:val="en-US" w:eastAsia="zh-CN" w:bidi="ar-SA"/>
                <w14:textFill>
                  <w14:solidFill>
                    <w14:schemeClr w14:val="tx1"/>
                  </w14:solidFill>
                </w14:textFill>
              </w:rPr>
              <w:t>经营业态为商业，</w:t>
            </w:r>
            <w:r>
              <w:rPr>
                <w:rFonts w:hint="eastAsia" w:ascii="宋体" w:hAnsi="宋体" w:cs="宋体"/>
                <w:sz w:val="24"/>
                <w:szCs w:val="24"/>
                <w:highlight w:val="none"/>
                <w:lang w:val="en-US" w:eastAsia="zh-CN"/>
              </w:rPr>
              <w:t>禁止餐饮业入驻。</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314960</wp:posOffset>
            </wp:positionH>
            <wp:positionV relativeFrom="paragraph">
              <wp:posOffset>24765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default"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875" w:firstLineChars="198"/>
        <w:jc w:val="left"/>
        <w:textAlignment w:val="auto"/>
        <w:rPr>
          <w:rFonts w:ascii="宋体" w:hAnsi="宋体" w:cs="宋体"/>
          <w:color w:val="auto"/>
          <w:sz w:val="24"/>
          <w:szCs w:val="24"/>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410845</wp:posOffset>
            </wp:positionH>
            <wp:positionV relativeFrom="paragraph">
              <wp:posOffset>202565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7831F0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0921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8.就标的物存在或可能存在的瑕疵（包括但不限于漏水、墙地面开裂、门窗损坏、设备设施损坏缺失等）和使用风险，须承租人自行修缮、弥补、承租。</w:t>
      </w:r>
    </w:p>
    <w:p w14:paraId="2D747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9、所有因房产使用中需要及其他所涉及的审批均由承租人自行办理，承租人不得以标的的原因致使审批相关手续受阻或以审批无法通过所造成损失为由，向村方（出租人）提出额外要求或索赔。</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314960</wp:posOffset>
            </wp:positionH>
            <wp:positionV relativeFrom="paragraph">
              <wp:posOffset>-3310255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12</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19</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租金（不含税）一年一付，先付后用，第1-3年租金不变，第4-5年租金在第3年租金的基础上递增2%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6月26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永中街道寺西</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温州市龙湾区永中街道寺西村股份经济合作社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商业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87C0FCD">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cs="宋体"/>
          <w:b/>
          <w:color w:val="auto"/>
          <w:sz w:val="24"/>
          <w:szCs w:val="24"/>
          <w:highlight w:val="none"/>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13E741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2A1D099E">
      <w:pPr>
        <w:pStyle w:val="4"/>
        <w:spacing w:line="380" w:lineRule="exact"/>
        <w:rPr>
          <w:rFonts w:hint="default"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第1-3年租金不变，第4-5年的租金在第3年租金的基础上递增2%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寺西村租赁项目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9042FF6"/>
    <w:rsid w:val="0B57681E"/>
    <w:rsid w:val="0FFC1742"/>
    <w:rsid w:val="137A57A0"/>
    <w:rsid w:val="137F6218"/>
    <w:rsid w:val="145C30F7"/>
    <w:rsid w:val="15316332"/>
    <w:rsid w:val="1797031B"/>
    <w:rsid w:val="180F7322"/>
    <w:rsid w:val="181B7855"/>
    <w:rsid w:val="18B67897"/>
    <w:rsid w:val="1B43776B"/>
    <w:rsid w:val="1B871827"/>
    <w:rsid w:val="1C1E1BAB"/>
    <w:rsid w:val="1CB03DF7"/>
    <w:rsid w:val="1EF82139"/>
    <w:rsid w:val="1FB0010B"/>
    <w:rsid w:val="2083256A"/>
    <w:rsid w:val="209061C6"/>
    <w:rsid w:val="20CD2A7D"/>
    <w:rsid w:val="21B300DA"/>
    <w:rsid w:val="22974B03"/>
    <w:rsid w:val="22EF57B4"/>
    <w:rsid w:val="23A10665"/>
    <w:rsid w:val="24C30629"/>
    <w:rsid w:val="24FC6C21"/>
    <w:rsid w:val="251A0B90"/>
    <w:rsid w:val="262502D3"/>
    <w:rsid w:val="26F03C3F"/>
    <w:rsid w:val="2DF10905"/>
    <w:rsid w:val="2E193B54"/>
    <w:rsid w:val="2E443CD9"/>
    <w:rsid w:val="301138F8"/>
    <w:rsid w:val="312E1520"/>
    <w:rsid w:val="333D173D"/>
    <w:rsid w:val="3375264B"/>
    <w:rsid w:val="33C650BD"/>
    <w:rsid w:val="36676139"/>
    <w:rsid w:val="36716136"/>
    <w:rsid w:val="36D27916"/>
    <w:rsid w:val="37893554"/>
    <w:rsid w:val="3957222B"/>
    <w:rsid w:val="3A034EA8"/>
    <w:rsid w:val="3D8C2FA1"/>
    <w:rsid w:val="3DEC4B39"/>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2030F8"/>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11624</Words>
  <Characters>11930</Characters>
  <Lines>0</Lines>
  <Paragraphs>0</Paragraphs>
  <TotalTime>2</TotalTime>
  <ScaleCrop>false</ScaleCrop>
  <LinksUpToDate>false</LinksUpToDate>
  <CharactersWithSpaces>13169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2025-06-12T07:48:27Z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F93E5D0904C94EA192EB26E2D8FCCDFE_13</vt:lpwstr>
  </property>
  <property fmtid="{D5CDD505-2E9C-101B-9397-08002B2CF9AE}" pid="4" name="KSOTemplateDocerSaveRecord">
    <vt:lpwstr>eyJoZGlkIjoiNjkzNzY2ODI0NTRlMDg1NTUzNmE2YWY4ZWJjMjE2MDMiLCJ1c2VySWQiOiIxNTk0MDAzNDA5In0=</vt:lpwstr>
  </property>
</Properties>
</file>