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89613A9">
      <w:pPr>
        <w:jc w:val="both"/>
        <w:rPr>
          <w:rFonts w:hint="eastAsia" w:ascii="宋体" w:hAnsi="宋体"/>
          <w:b/>
          <w:color w:val="auto"/>
          <w:sz w:val="48"/>
        </w:rPr>
      </w:pPr>
      <w:bookmarkStart w:id="1" w:name="_GoBack"/>
      <w:bookmarkEnd w:id="1"/>
    </w:p>
    <w:p w14:paraId="6E7842DE">
      <w:pPr>
        <w:jc w:val="center"/>
        <w:rPr>
          <w:rFonts w:hint="eastAsia" w:ascii="宋体" w:hAnsi="宋体"/>
          <w:b/>
          <w:color w:val="auto"/>
          <w:sz w:val="48"/>
        </w:rPr>
      </w:pPr>
    </w:p>
    <w:p w14:paraId="550A3EA4">
      <w:pPr>
        <w:jc w:val="center"/>
        <w:rPr>
          <w:rFonts w:hint="eastAsia" w:ascii="宋体" w:hAnsi="宋体"/>
          <w:b/>
          <w:color w:val="auto"/>
          <w:sz w:val="48"/>
        </w:rPr>
      </w:pPr>
    </w:p>
    <w:p w14:paraId="263EFF61">
      <w:pPr>
        <w:jc w:val="center"/>
        <w:rPr>
          <w:rFonts w:hint="eastAsia" w:ascii="宋体" w:hAnsi="宋体"/>
          <w:b/>
          <w:color w:val="auto"/>
          <w:sz w:val="48"/>
        </w:rPr>
      </w:pPr>
    </w:p>
    <w:p w14:paraId="14058AA9">
      <w:pPr>
        <w:jc w:val="center"/>
        <w:rPr>
          <w:rFonts w:hint="eastAsia" w:ascii="宋体" w:hAnsi="宋体"/>
          <w:b/>
          <w:color w:val="auto"/>
          <w:sz w:val="48"/>
        </w:rPr>
      </w:pPr>
    </w:p>
    <w:p w14:paraId="07198D3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627C5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温州市龙湾区海城街道石坦村E-28-1地块三产安置房剩余4个指标认购权(不含造价)竞价文件</w:t>
      </w:r>
    </w:p>
    <w:p w14:paraId="33408FF4">
      <w:pPr>
        <w:jc w:val="center"/>
        <w:rPr>
          <w:rFonts w:hint="eastAsia" w:ascii="宋体" w:hAnsi="宋体"/>
          <w:b/>
          <w:bCs/>
          <w:color w:val="auto"/>
          <w:sz w:val="44"/>
          <w:szCs w:val="44"/>
          <w:lang w:val="en-US" w:eastAsia="zh-CN"/>
        </w:rPr>
      </w:pPr>
    </w:p>
    <w:p w14:paraId="08B9BF39">
      <w:pPr>
        <w:jc w:val="center"/>
        <w:rPr>
          <w:rFonts w:hint="eastAsia" w:ascii="宋体" w:hAnsi="宋体"/>
          <w:b/>
          <w:bCs/>
          <w:color w:val="auto"/>
          <w:sz w:val="44"/>
          <w:szCs w:val="44"/>
          <w:lang w:val="en-US" w:eastAsia="zh-CN"/>
        </w:rPr>
      </w:pPr>
    </w:p>
    <w:p w14:paraId="3D628417">
      <w:pPr>
        <w:jc w:val="center"/>
        <w:rPr>
          <w:rFonts w:hint="eastAsia" w:ascii="宋体" w:hAnsi="宋体"/>
          <w:b/>
          <w:bCs/>
          <w:color w:val="auto"/>
          <w:sz w:val="44"/>
          <w:szCs w:val="44"/>
          <w:lang w:val="en-US" w:eastAsia="zh-CN"/>
        </w:rPr>
      </w:pPr>
    </w:p>
    <w:p w14:paraId="5C810396">
      <w:pPr>
        <w:jc w:val="center"/>
        <w:rPr>
          <w:rFonts w:hint="eastAsia" w:ascii="宋体" w:hAnsi="宋体"/>
          <w:b/>
          <w:bCs/>
          <w:color w:val="auto"/>
          <w:sz w:val="44"/>
          <w:szCs w:val="44"/>
          <w:lang w:val="en-US" w:eastAsia="zh-CN"/>
        </w:rPr>
      </w:pPr>
    </w:p>
    <w:p w14:paraId="632AFE58">
      <w:pPr>
        <w:jc w:val="both"/>
        <w:rPr>
          <w:rFonts w:hint="eastAsia" w:ascii="宋体" w:hAnsi="宋体"/>
          <w:b/>
          <w:bCs/>
          <w:color w:val="auto"/>
          <w:sz w:val="44"/>
          <w:szCs w:val="44"/>
          <w:lang w:val="en-US" w:eastAsia="zh-CN"/>
        </w:rPr>
      </w:pPr>
    </w:p>
    <w:p w14:paraId="09B4E4A2">
      <w:pPr>
        <w:jc w:val="center"/>
        <w:rPr>
          <w:rFonts w:hint="eastAsia" w:ascii="宋体" w:hAnsi="宋体"/>
          <w:b/>
          <w:bCs/>
          <w:color w:val="auto"/>
          <w:sz w:val="44"/>
          <w:szCs w:val="44"/>
          <w:lang w:val="en-US" w:eastAsia="zh-CN"/>
        </w:rPr>
      </w:pPr>
    </w:p>
    <w:p w14:paraId="236DB42F">
      <w:pPr>
        <w:jc w:val="center"/>
        <w:rPr>
          <w:rFonts w:hint="eastAsia" w:ascii="宋体" w:hAnsi="宋体"/>
          <w:b/>
          <w:bCs/>
          <w:color w:val="auto"/>
          <w:sz w:val="44"/>
          <w:szCs w:val="44"/>
          <w:lang w:val="en-US" w:eastAsia="zh-CN"/>
        </w:rPr>
      </w:pPr>
    </w:p>
    <w:p w14:paraId="466885CD">
      <w:pPr>
        <w:jc w:val="center"/>
        <w:rPr>
          <w:rFonts w:hint="eastAsia" w:ascii="宋体" w:hAnsi="宋体"/>
          <w:b/>
          <w:bCs/>
          <w:color w:val="auto"/>
          <w:sz w:val="44"/>
          <w:szCs w:val="44"/>
          <w:lang w:val="en-US" w:eastAsia="zh-CN"/>
        </w:rPr>
      </w:pPr>
    </w:p>
    <w:p w14:paraId="06740273">
      <w:pPr>
        <w:jc w:val="center"/>
        <w:rPr>
          <w:rFonts w:hint="eastAsia" w:ascii="宋体" w:hAnsi="宋体"/>
          <w:b/>
          <w:bCs/>
          <w:color w:val="auto"/>
          <w:sz w:val="44"/>
          <w:szCs w:val="44"/>
          <w:lang w:val="en-US" w:eastAsia="zh-CN"/>
        </w:rPr>
      </w:pPr>
    </w:p>
    <w:p w14:paraId="7E5506AD">
      <w:pPr>
        <w:jc w:val="center"/>
        <w:rPr>
          <w:rFonts w:hint="eastAsia" w:ascii="宋体" w:hAnsi="宋体"/>
          <w:b/>
          <w:bCs/>
          <w:color w:val="auto"/>
          <w:sz w:val="44"/>
          <w:szCs w:val="44"/>
          <w:lang w:val="en-US" w:eastAsia="zh-CN"/>
        </w:rPr>
      </w:pPr>
    </w:p>
    <w:p w14:paraId="18BB285B">
      <w:pPr>
        <w:jc w:val="center"/>
        <w:rPr>
          <w:rFonts w:hint="eastAsia" w:ascii="宋体" w:hAnsi="宋体"/>
          <w:b/>
          <w:bCs/>
          <w:color w:val="auto"/>
          <w:sz w:val="44"/>
          <w:szCs w:val="44"/>
          <w:lang w:val="en-US" w:eastAsia="zh-CN"/>
        </w:rPr>
      </w:pPr>
    </w:p>
    <w:p w14:paraId="60A95301">
      <w:pPr>
        <w:jc w:val="center"/>
        <w:rPr>
          <w:rFonts w:hint="eastAsia" w:ascii="宋体" w:hAnsi="宋体"/>
          <w:b/>
          <w:bCs/>
          <w:color w:val="auto"/>
          <w:sz w:val="44"/>
          <w:szCs w:val="44"/>
          <w:lang w:val="en-US" w:eastAsia="zh-CN"/>
        </w:rPr>
      </w:pPr>
    </w:p>
    <w:p w14:paraId="430F94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6A0A15E9">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2025年6月25日</w:t>
      </w:r>
    </w:p>
    <w:p w14:paraId="71485B7B">
      <w:pPr>
        <w:jc w:val="center"/>
        <w:rPr>
          <w:rFonts w:hint="eastAsia" w:ascii="宋体" w:hAnsi="宋体"/>
          <w:b/>
          <w:color w:val="auto"/>
          <w:sz w:val="48"/>
        </w:rPr>
      </w:pPr>
    </w:p>
    <w:p w14:paraId="7A526E78">
      <w:pPr>
        <w:jc w:val="center"/>
        <w:rPr>
          <w:rFonts w:hint="eastAsia" w:ascii="宋体" w:hAnsi="宋体"/>
          <w:b/>
          <w:color w:val="auto"/>
          <w:sz w:val="48"/>
        </w:rPr>
      </w:pPr>
      <w:r>
        <w:rPr>
          <w:rFonts w:hint="eastAsia" w:ascii="宋体" w:hAnsi="宋体"/>
          <w:b/>
          <w:color w:val="auto"/>
          <w:sz w:val="48"/>
        </w:rPr>
        <w:t>目  录</w:t>
      </w:r>
    </w:p>
    <w:p w14:paraId="66263956">
      <w:pPr>
        <w:jc w:val="center"/>
        <w:rPr>
          <w:rFonts w:hint="eastAsia" w:ascii="宋体" w:hAnsi="宋体"/>
          <w:b/>
          <w:color w:val="auto"/>
          <w:sz w:val="48"/>
        </w:rPr>
      </w:pPr>
    </w:p>
    <w:p w14:paraId="6A01FEB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BEAB5B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0D95687">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4B5BA80">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2017C804">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703DCFA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指标认购权转让合同</w:t>
      </w:r>
      <w:r>
        <w:rPr>
          <w:rFonts w:hint="eastAsia" w:ascii="宋体" w:hAnsi="宋体"/>
          <w:color w:val="auto"/>
          <w:sz w:val="28"/>
          <w:lang w:eastAsia="zh-CN"/>
        </w:rPr>
        <w:t>（样本）</w:t>
      </w:r>
    </w:p>
    <w:p w14:paraId="3A976C24">
      <w:pPr>
        <w:rPr>
          <w:rFonts w:hint="eastAsia" w:ascii="宋体" w:hAnsi="宋体"/>
          <w:color w:val="auto"/>
          <w:sz w:val="28"/>
        </w:rPr>
      </w:pPr>
    </w:p>
    <w:p w14:paraId="298FB669">
      <w:pPr>
        <w:rPr>
          <w:rFonts w:hint="eastAsia" w:ascii="宋体" w:hAnsi="宋体"/>
          <w:color w:val="auto"/>
          <w:sz w:val="28"/>
        </w:rPr>
      </w:pPr>
    </w:p>
    <w:p w14:paraId="03A24891">
      <w:pPr>
        <w:rPr>
          <w:rFonts w:hint="eastAsia" w:ascii="宋体" w:hAnsi="宋体"/>
          <w:color w:val="auto"/>
          <w:sz w:val="28"/>
        </w:rPr>
      </w:pPr>
    </w:p>
    <w:p w14:paraId="22714CD5">
      <w:pPr>
        <w:rPr>
          <w:rFonts w:hint="eastAsia" w:ascii="宋体" w:hAnsi="宋体"/>
          <w:color w:val="auto"/>
          <w:sz w:val="28"/>
        </w:rPr>
      </w:pPr>
    </w:p>
    <w:p w14:paraId="191AC3AD">
      <w:pPr>
        <w:rPr>
          <w:rFonts w:hint="eastAsia" w:ascii="宋体" w:hAnsi="宋体"/>
          <w:color w:val="auto"/>
          <w:sz w:val="28"/>
        </w:rPr>
      </w:pPr>
    </w:p>
    <w:p w14:paraId="05A483EE">
      <w:pPr>
        <w:rPr>
          <w:rFonts w:hint="eastAsia" w:ascii="宋体" w:hAnsi="宋体"/>
          <w:color w:val="auto"/>
          <w:sz w:val="28"/>
        </w:rPr>
      </w:pPr>
    </w:p>
    <w:p w14:paraId="1FAFF3EC">
      <w:pPr>
        <w:rPr>
          <w:rFonts w:hint="eastAsia" w:ascii="宋体" w:hAnsi="宋体"/>
          <w:color w:val="auto"/>
          <w:sz w:val="28"/>
        </w:rPr>
      </w:pPr>
    </w:p>
    <w:p w14:paraId="4E046102">
      <w:pPr>
        <w:rPr>
          <w:rFonts w:hint="eastAsia" w:ascii="宋体" w:hAnsi="宋体"/>
          <w:color w:val="auto"/>
          <w:sz w:val="28"/>
        </w:rPr>
      </w:pPr>
    </w:p>
    <w:p w14:paraId="76EDCE27">
      <w:pPr>
        <w:rPr>
          <w:rFonts w:hint="eastAsia" w:ascii="宋体" w:hAnsi="宋体"/>
          <w:color w:val="auto"/>
          <w:sz w:val="28"/>
        </w:rPr>
      </w:pPr>
    </w:p>
    <w:p w14:paraId="5CB24F26">
      <w:pPr>
        <w:rPr>
          <w:rFonts w:hint="eastAsia" w:ascii="宋体" w:hAnsi="宋体"/>
          <w:color w:val="auto"/>
          <w:sz w:val="28"/>
        </w:rPr>
      </w:pPr>
    </w:p>
    <w:p w14:paraId="42C09AFD">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5EE7BC59">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温州市龙湾区海城街道石坦村E-28-1地块三产安置房剩余4个指标认购权(不含造价)竞价公告</w:t>
      </w:r>
    </w:p>
    <w:p w14:paraId="6AB5590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7月2日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2025年7月3日上午9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eastAsia="宋体" w:cs="宋体"/>
          <w:bCs/>
          <w:sz w:val="24"/>
          <w:szCs w:val="24"/>
          <w:highlight w:val="none"/>
          <w:lang w:val="en-US" w:eastAsia="zh-CN"/>
        </w:rPr>
        <w:t>温州市龙湾区海城街道石坦村E-28-1地块三产安置房剩余4个指标认购权(不含造价)</w:t>
      </w:r>
      <w:r>
        <w:rPr>
          <w:rFonts w:hint="eastAsia" w:ascii="宋体" w:hAnsi="宋体"/>
          <w:color w:val="auto"/>
          <w:sz w:val="24"/>
          <w:szCs w:val="24"/>
          <w:u w:val="none"/>
        </w:rPr>
        <w:t>进行增价式公开竞价，具体竞价事宜详见《竞价协议》及《</w:t>
      </w:r>
      <w:r>
        <w:rPr>
          <w:rFonts w:hint="eastAsia" w:ascii="宋体" w:hAnsi="宋体"/>
          <w:color w:val="auto"/>
          <w:sz w:val="24"/>
          <w:szCs w:val="24"/>
          <w:u w:val="none"/>
          <w:lang w:val="en-US" w:eastAsia="zh-CN"/>
        </w:rPr>
        <w:t>指标认购权转让合同</w:t>
      </w:r>
      <w:r>
        <w:rPr>
          <w:rFonts w:hint="eastAsia" w:ascii="宋体" w:hAnsi="宋体"/>
          <w:color w:val="auto"/>
          <w:sz w:val="24"/>
          <w:szCs w:val="24"/>
          <w:u w:val="none"/>
        </w:rPr>
        <w:t>》（样本）等相关文件</w:t>
      </w:r>
      <w:r>
        <w:rPr>
          <w:rFonts w:hint="eastAsia" w:ascii="宋体" w:hAnsi="宋体" w:cs="宋体"/>
          <w:bCs/>
          <w:color w:val="auto"/>
          <w:sz w:val="24"/>
          <w:szCs w:val="24"/>
          <w:u w:val="none"/>
        </w:rPr>
        <w:t>。</w:t>
      </w:r>
    </w:p>
    <w:p w14:paraId="38BDA60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3809"/>
        <w:gridCol w:w="1924"/>
        <w:gridCol w:w="1692"/>
        <w:gridCol w:w="2063"/>
      </w:tblGrid>
      <w:tr w14:paraId="15FDE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16692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CE70A3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p>
          <w:p w14:paraId="509287F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C75483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4A582CA9">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交易起始价</w:t>
            </w:r>
          </w:p>
        </w:tc>
        <w:tc>
          <w:tcPr>
            <w:tcW w:w="1944" w:type="dxa"/>
            <w:tcBorders>
              <w:top w:val="single" w:color="000000" w:sz="4" w:space="0"/>
              <w:left w:val="nil"/>
              <w:bottom w:val="single" w:color="000000" w:sz="4" w:space="0"/>
              <w:right w:val="single" w:color="auto" w:sz="4" w:space="0"/>
            </w:tcBorders>
            <w:noWrap w:val="0"/>
            <w:vAlign w:val="center"/>
          </w:tcPr>
          <w:p w14:paraId="608ED90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A593E0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C508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25E7346">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lang w:val="en-US" w:eastAsia="zh-CN"/>
              </w:rPr>
            </w:pPr>
          </w:p>
          <w:p w14:paraId="6686848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b/>
                <w:bCs/>
                <w:color w:val="auto"/>
                <w:kern w:val="0"/>
                <w:sz w:val="24"/>
                <w:szCs w:val="24"/>
                <w:lang w:val="en-US" w:eastAsia="zh-CN" w:bidi="ar-SA"/>
              </w:rPr>
              <w:drawing>
                <wp:anchor distT="0" distB="0" distL="114300" distR="114300" simplePos="0" relativeHeight="251667456" behindDoc="1" locked="0" layoutInCell="1" allowOverlap="1">
                  <wp:simplePos x="0" y="0"/>
                  <wp:positionH relativeFrom="column">
                    <wp:posOffset>271780</wp:posOffset>
                  </wp:positionH>
                  <wp:positionV relativeFrom="paragraph">
                    <wp:posOffset>-15240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42F20B93">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138D4C4">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57B13F6F">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412323C">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kern w:val="2"/>
                <w:sz w:val="24"/>
                <w:szCs w:val="24"/>
                <w:lang w:val="en-US" w:eastAsia="zh-CN" w:bidi="ar-SA"/>
              </w:rPr>
              <w:t>50万元</w:t>
            </w:r>
          </w:p>
        </w:tc>
      </w:tr>
      <w:tr w14:paraId="109BB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1F7515">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753A7BA">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6EFA7A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4F7555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5177A3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7282E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2958AF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AC38298">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6856CF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1133EBD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6801CF3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16545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55B35A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32B69D2C">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37CCAE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21BFE55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944" w:type="dxa"/>
            <w:tcBorders>
              <w:top w:val="single" w:color="000000" w:sz="4" w:space="0"/>
              <w:left w:val="nil"/>
              <w:bottom w:val="single" w:color="000000" w:sz="4" w:space="0"/>
              <w:right w:val="single" w:color="auto" w:sz="4" w:space="0"/>
            </w:tcBorders>
            <w:noWrap w:val="0"/>
            <w:vAlign w:val="center"/>
          </w:tcPr>
          <w:p w14:paraId="1944129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321BF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905AB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各标的指标面积合计约292㎡（其中包含两套住房，每套建筑面积约137㎡；配套车位2个（无产权证）；一个一层商业门面，建筑面积约18㎡）；实际内容及面积以温州设计集团有限公司设计图纸为准。（标的对应安置房面积最终以证载面积为准，面积如有差异，指标成交价不再另行找补。）</w:t>
            </w:r>
          </w:p>
          <w:p w14:paraId="640CE21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default" w:ascii="宋体" w:hAnsi="宋体" w:cs="宋体"/>
                <w:color w:val="000000"/>
                <w:kern w:val="2"/>
                <w:sz w:val="24"/>
                <w:szCs w:val="24"/>
                <w:lang w:val="en-US" w:eastAsia="zh-CN" w:bidi="ar-SA"/>
              </w:rPr>
              <w:t>2.上述标的起始价为指标价（不含造价）。竞得人成交标的后，因该指标项下建设安置房所产生的一切费用（包括但不限于安置房造价、车位（地下室）造价、税费、规费、产权证办理费用等）均由</w:t>
            </w:r>
            <w:r>
              <w:rPr>
                <w:rFonts w:hint="eastAsia" w:ascii="宋体" w:hAnsi="宋体" w:cs="宋体"/>
                <w:color w:val="000000"/>
                <w:kern w:val="2"/>
                <w:sz w:val="24"/>
                <w:szCs w:val="24"/>
                <w:lang w:val="en-US" w:eastAsia="zh-CN" w:bidi="ar-SA"/>
              </w:rPr>
              <w:t>竞得人</w:t>
            </w:r>
            <w:r>
              <w:rPr>
                <w:rFonts w:hint="default" w:ascii="宋体" w:hAnsi="宋体" w:cs="宋体"/>
                <w:color w:val="000000"/>
                <w:kern w:val="2"/>
                <w:sz w:val="24"/>
                <w:szCs w:val="24"/>
                <w:lang w:val="en-US" w:eastAsia="zh-CN" w:bidi="ar-SA"/>
              </w:rPr>
              <w:t>自行缴纳并承担。</w:t>
            </w:r>
          </w:p>
          <w:p w14:paraId="10BF12A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3.上述标的内三产安置房的定位需后期摸文确定。安置房号、商业用房及车位具体摸文分配方案以各指标竞得人与村方自行协商确定。</w:t>
            </w:r>
          </w:p>
          <w:p w14:paraId="611B12F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default" w:ascii="宋体" w:hAnsi="宋体" w:cs="宋体"/>
                <w:color w:val="000000"/>
                <w:kern w:val="2"/>
                <w:sz w:val="24"/>
                <w:szCs w:val="24"/>
                <w:lang w:val="en-US" w:eastAsia="zh-CN" w:bidi="ar-SA"/>
              </w:rPr>
              <w:t>该地块用途为城镇住宅用地兼容零售商业用地（村三产安置房），土地使用权性质：国有出让。</w:t>
            </w:r>
          </w:p>
        </w:tc>
      </w:tr>
    </w:tbl>
    <w:p w14:paraId="1240A48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08E1F3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竞价对象：具有完全民事行为能力的自然人、 法人及其他能独立承担经济责任的组织等。</w:t>
      </w:r>
    </w:p>
    <w:p w14:paraId="211BB12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交易保证金扣除其应缴的交易服务费后转为相应的交易成交金额；未成交者，交易保证金5个工作日内无息退还。 </w:t>
      </w:r>
    </w:p>
    <w:p w14:paraId="352BEE7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宋体"/>
          <w:b w:val="0"/>
          <w:bCs w:val="0"/>
          <w:color w:val="auto"/>
          <w:kern w:val="0"/>
          <w:sz w:val="24"/>
          <w:szCs w:val="24"/>
          <w:lang w:val="en-US" w:eastAsia="zh-CN" w:bidi="ar-SA"/>
        </w:rPr>
      </w:pPr>
      <w:r>
        <w:rPr>
          <w:rFonts w:hint="eastAsia" w:ascii="宋体" w:hAnsi="宋体" w:eastAsia="宋体" w:cs="宋体"/>
          <w:b w:val="0"/>
          <w:bCs w:val="0"/>
          <w:color w:val="auto"/>
          <w:kern w:val="0"/>
          <w:sz w:val="24"/>
          <w:szCs w:val="24"/>
          <w:lang w:val="en-US" w:eastAsia="zh-CN" w:bidi="ar-SA"/>
        </w:rPr>
        <w:t>若只有一家竞</w:t>
      </w:r>
      <w:r>
        <w:rPr>
          <w:rFonts w:hint="eastAsia" w:ascii="宋体" w:hAnsi="宋体" w:cs="宋体"/>
          <w:b w:val="0"/>
          <w:bCs w:val="0"/>
          <w:color w:val="auto"/>
          <w:kern w:val="0"/>
          <w:sz w:val="24"/>
          <w:szCs w:val="24"/>
          <w:lang w:val="en-US" w:eastAsia="zh-CN" w:bidi="ar-SA"/>
        </w:rPr>
        <w:t>价</w:t>
      </w:r>
      <w:r>
        <w:rPr>
          <w:rFonts w:hint="eastAsia" w:ascii="宋体" w:hAnsi="宋体" w:eastAsia="宋体" w:cs="宋体"/>
          <w:b w:val="0"/>
          <w:bCs w:val="0"/>
          <w:color w:val="auto"/>
          <w:kern w:val="0"/>
          <w:sz w:val="24"/>
          <w:szCs w:val="24"/>
          <w:lang w:val="en-US" w:eastAsia="zh-CN" w:bidi="ar-SA"/>
        </w:rPr>
        <w:t>人报名参与竞价的，可按交易起始价成交。</w:t>
      </w:r>
    </w:p>
    <w:p w14:paraId="13CE9D7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42" w:firstLineChars="100"/>
        <w:textAlignment w:val="auto"/>
        <w:rPr>
          <w:rFonts w:hint="eastAsia" w:ascii="宋体" w:hAnsi="宋体" w:eastAsia="宋体" w:cs="宋体"/>
          <w:b/>
          <w:bCs/>
          <w:color w:val="auto"/>
          <w:sz w:val="24"/>
          <w:szCs w:val="24"/>
          <w:highlight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391160</wp:posOffset>
            </wp:positionH>
            <wp:positionV relativeFrom="paragraph">
              <wp:posOffset>30480</wp:posOffset>
            </wp:positionV>
            <wp:extent cx="5271770" cy="5833110"/>
            <wp:effectExtent l="0" t="0" r="5080" b="15240"/>
            <wp:wrapNone/>
            <wp:docPr id="5"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248D0D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交易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交易保证金不得代缴，汇入时请备注：石坦村指标认购项目</w:t>
      </w:r>
      <w:r>
        <w:rPr>
          <w:rFonts w:hint="eastAsia" w:ascii="宋体" w:hAnsi="宋体" w:eastAsia="宋体" w:cs="Times New Roman"/>
          <w:b/>
          <w:bCs/>
          <w:color w:val="auto"/>
          <w:sz w:val="24"/>
          <w:szCs w:val="24"/>
          <w:u w:val="none"/>
          <w:lang w:val="en-US" w:eastAsia="zh-CN"/>
        </w:rPr>
        <w:t>。</w:t>
      </w:r>
    </w:p>
    <w:p w14:paraId="373B9E4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一份交易保证金只能参与一个标的的竞价，不可参与多个标的竞价；若参与多个标的竞价则需缴纳对应份数的交易保证金。</w:t>
      </w:r>
    </w:p>
    <w:p w14:paraId="56687D8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4AC5D45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即公告发布之日起至2025年7月1日下午4时止（工作时间）</w:t>
      </w:r>
    </w:p>
    <w:p w14:paraId="06E38DA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2DDD86C1">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FD36B9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1571D418">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176B4D1">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B15236E">
      <w:pPr>
        <w:pStyle w:val="3"/>
        <w:ind w:left="0" w:leftChars="0" w:firstLine="480" w:firstLineChars="200"/>
        <w:rPr>
          <w:rFonts w:hint="eastAsia" w:ascii="宋体" w:hAnsi="宋体" w:eastAsia="宋体" w:cs="Times New Roman"/>
          <w:color w:val="auto"/>
          <w:sz w:val="24"/>
          <w:szCs w:val="24"/>
          <w:highlight w:val="none"/>
          <w:lang w:eastAsia="zh-CN"/>
        </w:rPr>
      </w:pPr>
    </w:p>
    <w:p w14:paraId="5A091A6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温州龙湾区海城街道石坦村股份经济合作社</w:t>
      </w:r>
    </w:p>
    <w:p w14:paraId="22646FA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00E10BE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2025年6月25日</w:t>
      </w:r>
      <w:r>
        <w:rPr>
          <w:rFonts w:hint="eastAsia" w:ascii="宋体" w:hAnsi="宋体" w:eastAsia="宋体" w:cs="Times New Roman"/>
          <w:color w:val="auto"/>
          <w:sz w:val="24"/>
          <w:szCs w:val="24"/>
          <w:u w:val="none"/>
          <w:lang w:val="en-US" w:eastAsia="zh-CN"/>
        </w:rPr>
        <w:t xml:space="preserve">                     </w:t>
      </w:r>
    </w:p>
    <w:p w14:paraId="32C07C0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022866B1">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909D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886F2D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55D939E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b/>
          <w:bCs/>
          <w:color w:val="auto"/>
          <w:sz w:val="24"/>
          <w:szCs w:val="24"/>
          <w:highlight w:val="none"/>
          <w:lang w:val="en-US" w:eastAsia="zh-CN"/>
        </w:rPr>
        <w:t>本次竞价标的为四个完全相同的指标认购权，每个标的单独进行竞价，各标的条款、权利及规则并无差异，仅编号不同。报名人成功提交报名材料后，竞价人将按报名先后顺序自动分配至1至4号标的（例：首位竞价人进入1号标，第二位进入2号标，第五位继续进入1号标的，依此类推），并仅可对自身被分配的特定标的参与竞价。请竞价人知悉规则，确保按系统分配的标的编号进行报名、竞价。</w:t>
      </w:r>
    </w:p>
    <w:p w14:paraId="5B665A5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7B5798A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各标的</w:t>
      </w: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可按交易起始价</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lang w:val="en-US" w:eastAsia="zh-CN"/>
        </w:rPr>
        <w:t>不设保留价</w:t>
      </w:r>
      <w:r>
        <w:rPr>
          <w:rFonts w:hint="eastAsia" w:ascii="宋体" w:hAnsi="宋体" w:eastAsia="宋体" w:cs="宋体"/>
          <w:color w:val="auto"/>
          <w:sz w:val="24"/>
          <w:szCs w:val="24"/>
          <w:highlight w:val="none"/>
          <w:lang w:eastAsia="zh-CN"/>
        </w:rPr>
        <w:t>。</w:t>
      </w:r>
    </w:p>
    <w:p w14:paraId="2B66040B">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highlight w:val="none"/>
          <w:lang w:val="en-US" w:eastAsia="zh-CN"/>
        </w:rPr>
      </w:pPr>
      <w:r>
        <w:rPr>
          <w:rFonts w:hint="eastAsia"/>
          <w:highlight w:val="none"/>
          <w:lang w:val="en-US" w:eastAsia="zh-CN"/>
        </w:rPr>
        <w:t>三、本次竞价设置延时5分钟结束，即竞价结束前5分钟内若有人出价，在出价的基础上往后再延迟5分钟结束竞价，直至无人再次出价，倒计时结束，价高者得。</w:t>
      </w:r>
    </w:p>
    <w:p w14:paraId="3FCD772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并向温州市龙湾区农村产权服务中心有限公司指定账户交纳交易保证金</w:t>
      </w:r>
      <w:r>
        <w:rPr>
          <w:rFonts w:hint="eastAsia" w:ascii="宋体" w:hAnsi="宋体"/>
          <w:color w:val="auto"/>
          <w:sz w:val="24"/>
          <w:szCs w:val="24"/>
          <w:highlight w:val="none"/>
        </w:rPr>
        <w:t>。</w:t>
      </w:r>
    </w:p>
    <w:p w14:paraId="6865FE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406067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2E2CE416">
      <w:pPr>
        <w:keepNext w:val="0"/>
        <w:keepLines w:val="0"/>
        <w:pageBreakBefore w:val="0"/>
        <w:widowControl w:val="0"/>
        <w:kinsoku/>
        <w:wordWrap/>
        <w:overflowPunct/>
        <w:topLinePunct w:val="0"/>
        <w:autoSpaceDE/>
        <w:autoSpaceDN/>
        <w:bidi w:val="0"/>
        <w:snapToGrid/>
        <w:spacing w:line="460" w:lineRule="exact"/>
        <w:ind w:firstLine="442" w:firstLineChars="100"/>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288290</wp:posOffset>
            </wp:positionH>
            <wp:positionV relativeFrom="paragraph">
              <wp:posOffset>1269365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8A855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szCs w:val="24"/>
          <w:highlight w:val="none"/>
        </w:rPr>
      </w:pPr>
      <w:r>
        <w:rPr>
          <w:rFonts w:hint="eastAsia"/>
          <w:color w:val="auto"/>
          <w:sz w:val="24"/>
          <w:highlight w:val="none"/>
          <w:lang w:val="en-US" w:eastAsia="zh-CN"/>
        </w:rPr>
        <w:t>八、温州市龙湾区海城街道石坦村E-28-1地块三产安置房建筑项目目前已办理《海城街道E-28-1地块三产安置房建筑项目设计方案》《建设项目规划条件[2018]规划条件07038号》《建设工程规划许可证》建字第330371202300003号、《浙江省企业投资项目备案(赋码)信息表》等相关审批文件，未办理《施工许可证》。安置房建筑项目由委托人温州市龙湾区海城街道石坦村股份经济合作社负责公开招标具有相关资质的建筑施工单位开工建造。安置房造价、车位造价（地下室）由竞得人另行缴纳并承担。安置房造价、地下室车位造价以村民代表大会决议及村两委确定为准；具体缴款时间、方式、账号以委托人通知为准。</w:t>
      </w:r>
    </w:p>
    <w:p w14:paraId="02F4125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九</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交易保证金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46DD3F8">
      <w:pPr>
        <w:pStyle w:val="9"/>
        <w:rPr>
          <w:rFonts w:hint="default"/>
          <w:lang w:val="en-US" w:eastAsia="zh-CN"/>
        </w:rPr>
      </w:pPr>
      <w:r>
        <w:rPr>
          <w:rFonts w:hint="eastAsia"/>
          <w:color w:val="auto"/>
          <w:sz w:val="24"/>
          <w:szCs w:val="24"/>
          <w:highlight w:val="none"/>
          <w:lang w:val="en-US" w:eastAsia="zh-CN"/>
        </w:rPr>
        <w:t>十、竞得人前往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交易保证金优先用于赔偿组织方的（预期）收入及其它费用损失。</w:t>
      </w:r>
    </w:p>
    <w:p w14:paraId="1B2F4E1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eastAsia="zh-CN"/>
        </w:rPr>
      </w:pPr>
      <w:r>
        <w:rPr>
          <w:rFonts w:hint="eastAsia"/>
          <w:color w:val="auto"/>
          <w:sz w:val="24"/>
          <w:szCs w:val="24"/>
          <w:highlight w:val="none"/>
          <w:lang w:val="en-US" w:eastAsia="zh-CN"/>
        </w:rPr>
        <w:t>十一</w:t>
      </w:r>
      <w:r>
        <w:rPr>
          <w:rFonts w:hint="eastAsia"/>
          <w:color w:val="auto"/>
          <w:sz w:val="24"/>
          <w:szCs w:val="24"/>
          <w:highlight w:val="none"/>
        </w:rPr>
        <w:t>、</w:t>
      </w:r>
      <w:r>
        <w:rPr>
          <w:rFonts w:hint="eastAsia"/>
          <w:color w:val="auto"/>
          <w:sz w:val="24"/>
          <w:szCs w:val="24"/>
          <w:highlight w:val="none"/>
          <w:lang w:eastAsia="zh-CN"/>
        </w:rPr>
        <w:t>竞得人须在规定时间内付清交易服务费及平台软件服务费</w:t>
      </w:r>
      <w:r>
        <w:rPr>
          <w:rFonts w:hint="eastAsia"/>
          <w:color w:val="auto"/>
          <w:sz w:val="24"/>
          <w:szCs w:val="24"/>
          <w:highlight w:val="none"/>
          <w:lang w:val="en-US" w:eastAsia="zh-CN"/>
        </w:rPr>
        <w:t>等相关费用</w:t>
      </w:r>
      <w:r>
        <w:rPr>
          <w:rFonts w:hint="eastAsia"/>
          <w:color w:val="auto"/>
          <w:sz w:val="24"/>
          <w:szCs w:val="24"/>
          <w:highlight w:val="none"/>
          <w:lang w:eastAsia="zh-CN"/>
        </w:rPr>
        <w:t>。除农交云平台软件服务费外，其余剩余应交款采用线下支付尾款的方式，</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236855</wp:posOffset>
            </wp:positionH>
            <wp:positionV relativeFrom="paragraph">
              <wp:posOffset>-4172585</wp:posOffset>
            </wp:positionV>
            <wp:extent cx="5271770" cy="5833110"/>
            <wp:effectExtent l="0" t="0" r="5080" b="15240"/>
            <wp:wrapNone/>
            <wp:docPr id="2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交纳至温州市龙湾区农村产权服务中心有限公司指定银行账号。</w:t>
      </w:r>
    </w:p>
    <w:p w14:paraId="44E711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lang w:val="en-US" w:eastAsia="zh-CN"/>
        </w:rPr>
        <w:t>十二</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4C21F8FE">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十三</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6A3FEFD0">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lang w:val="en-US" w:eastAsia="zh-CN"/>
        </w:rPr>
        <w:t>十四</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54AE34B4">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lang w:val="en-US" w:eastAsia="zh-CN"/>
        </w:rPr>
        <w:t>十五</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897D84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D421159">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2025年6月25日</w:t>
      </w:r>
    </w:p>
    <w:p w14:paraId="44E69D6F">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76128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77C4F2">
                            <w:pPr>
                              <w:jc w:val="left"/>
                              <w:rPr>
                                <w:rFonts w:hint="eastAsia" w:ascii="宋体" w:hAnsi="宋体"/>
                                <w:color w:val="000000"/>
                                <w:sz w:val="24"/>
                              </w:rPr>
                            </w:pPr>
                          </w:p>
                          <w:p w14:paraId="4165AB5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848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4276128E">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F77C4F2">
                      <w:pPr>
                        <w:jc w:val="left"/>
                        <w:rPr>
                          <w:rFonts w:hint="eastAsia" w:ascii="宋体" w:hAnsi="宋体"/>
                          <w:color w:val="000000"/>
                          <w:sz w:val="24"/>
                        </w:rPr>
                      </w:pPr>
                    </w:p>
                    <w:p w14:paraId="4165AB58">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AEF3202">
      <w:pPr>
        <w:spacing w:line="480" w:lineRule="exact"/>
        <w:textAlignment w:val="baseline"/>
        <w:rPr>
          <w:rFonts w:hint="eastAsia"/>
          <w:color w:val="auto"/>
          <w:sz w:val="28"/>
          <w:szCs w:val="28"/>
        </w:rPr>
      </w:pPr>
    </w:p>
    <w:p w14:paraId="57114AF8">
      <w:pPr>
        <w:spacing w:line="360" w:lineRule="auto"/>
        <w:jc w:val="both"/>
        <w:rPr>
          <w:rFonts w:hint="eastAsia"/>
          <w:b/>
          <w:color w:val="auto"/>
          <w:sz w:val="36"/>
          <w:szCs w:val="36"/>
          <w:highlight w:val="none"/>
        </w:rPr>
      </w:pPr>
    </w:p>
    <w:p w14:paraId="134AA632">
      <w:pPr>
        <w:spacing w:line="360" w:lineRule="auto"/>
        <w:jc w:val="center"/>
        <w:rPr>
          <w:rFonts w:hint="eastAsia"/>
          <w:b/>
          <w:color w:val="auto"/>
          <w:sz w:val="36"/>
          <w:szCs w:val="36"/>
          <w:highlight w:val="none"/>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-685165</wp:posOffset>
            </wp:positionV>
            <wp:extent cx="5271770" cy="5833110"/>
            <wp:effectExtent l="0" t="0" r="5080" b="15240"/>
            <wp:wrapNone/>
            <wp:docPr id="2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26BAEC8">
      <w:pPr>
        <w:spacing w:line="360" w:lineRule="auto"/>
        <w:jc w:val="center"/>
        <w:rPr>
          <w:b/>
          <w:color w:val="auto"/>
          <w:sz w:val="44"/>
          <w:szCs w:val="44"/>
          <w:highlight w:val="none"/>
        </w:rPr>
      </w:pPr>
      <w:r>
        <w:rPr>
          <w:rFonts w:hint="eastAsia"/>
          <w:b/>
          <w:color w:val="auto"/>
          <w:sz w:val="36"/>
          <w:szCs w:val="36"/>
          <w:highlight w:val="none"/>
        </w:rPr>
        <w:br w:type="page"/>
      </w:r>
      <w:r>
        <w:rPr>
          <w:color w:val="auto"/>
          <w:sz w:val="36"/>
          <w:szCs w:val="36"/>
          <w:highlight w:val="none"/>
        </w:rPr>
        <mc:AlternateContent>
          <mc:Choice Requires="wps">
            <w:drawing>
              <wp:anchor distT="0" distB="0" distL="114300" distR="114300" simplePos="0" relativeHeight="25166950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35C01E2">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950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335C01E2">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3466330">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4CD88F74">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15DDF44">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8DE487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2425B1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688A9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7月2日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596A1BC">
      <w:pPr>
        <w:keepNext w:val="0"/>
        <w:keepLines w:val="0"/>
        <w:pageBreakBefore w:val="0"/>
        <w:widowControl w:val="0"/>
        <w:kinsoku/>
        <w:wordWrap/>
        <w:overflowPunct/>
        <w:topLinePunct w:val="0"/>
        <w:autoSpaceDE/>
        <w:autoSpaceDN/>
        <w:bidi w:val="0"/>
        <w:adjustRightInd/>
        <w:snapToGrid/>
        <w:spacing w:line="360" w:lineRule="auto"/>
        <w:ind w:right="0" w:rightChars="0" w:firstLine="240" w:firstLineChars="1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58A170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590E18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w:t>
      </w:r>
      <w:r>
        <w:rPr>
          <w:rFonts w:hint="eastAsia"/>
          <w:color w:val="auto"/>
          <w:sz w:val="24"/>
          <w:highlight w:val="none"/>
          <w:lang w:eastAsia="zh-CN"/>
        </w:rPr>
        <w:t>交易保证金</w:t>
      </w:r>
      <w:r>
        <w:rPr>
          <w:rFonts w:hint="eastAsia"/>
          <w:color w:val="auto"/>
          <w:sz w:val="24"/>
          <w:highlight w:val="none"/>
        </w:rPr>
        <w:t>。同时向甲方据实提交了有关身份信息及具备参与竞价条件的证明文件。</w:t>
      </w:r>
    </w:p>
    <w:p w14:paraId="031C54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2B57CE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95836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DEDC72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515097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八、竞价成交后，</w:t>
      </w:r>
      <w:r>
        <w:rPr>
          <w:rFonts w:hint="eastAsia"/>
          <w:color w:val="auto"/>
          <w:sz w:val="24"/>
          <w:highlight w:val="none"/>
          <w:lang w:val="en-US" w:eastAsia="zh-CN"/>
        </w:rPr>
        <w:t>乙方</w:t>
      </w:r>
      <w:r>
        <w:rPr>
          <w:rFonts w:hint="eastAsia"/>
          <w:color w:val="auto"/>
          <w:sz w:val="24"/>
          <w:highlight w:val="none"/>
        </w:rPr>
        <w:t>必须按时签署《成交确认书》《</w:t>
      </w:r>
      <w:r>
        <w:rPr>
          <w:rFonts w:hint="eastAsia"/>
          <w:color w:val="auto"/>
          <w:sz w:val="24"/>
          <w:highlight w:val="none"/>
          <w:lang w:eastAsia="zh-CN"/>
        </w:rPr>
        <w:t>指标认购权转让合同</w:t>
      </w:r>
      <w:r>
        <w:rPr>
          <w:rFonts w:hint="eastAsia"/>
          <w:color w:val="auto"/>
          <w:sz w:val="24"/>
          <w:highlight w:val="none"/>
        </w:rPr>
        <w:t>》</w:t>
      </w:r>
      <w:r>
        <w:rPr>
          <w:rFonts w:hint="eastAsia"/>
          <w:color w:val="auto"/>
          <w:sz w:val="24"/>
          <w:highlight w:val="none"/>
          <w:lang w:eastAsia="zh-CN"/>
        </w:rPr>
        <w:t>；</w:t>
      </w:r>
      <w:r>
        <w:rPr>
          <w:rFonts w:hint="eastAsia"/>
          <w:color w:val="auto"/>
          <w:sz w:val="24"/>
          <w:highlight w:val="none"/>
        </w:rPr>
        <w:t>若</w:t>
      </w:r>
      <w:r>
        <w:rPr>
          <w:rFonts w:hint="eastAsia"/>
          <w:color w:val="auto"/>
          <w:sz w:val="24"/>
          <w:highlight w:val="none"/>
          <w:lang w:val="en-US" w:eastAsia="zh-CN"/>
        </w:rPr>
        <w:t>甲方</w:t>
      </w:r>
      <w:r>
        <w:rPr>
          <w:rFonts w:hint="eastAsia"/>
          <w:color w:val="auto"/>
          <w:sz w:val="24"/>
          <w:highlight w:val="none"/>
        </w:rPr>
        <w:t>存在拖延、拒绝、逾期签署《成交确认书》《</w:t>
      </w:r>
      <w:r>
        <w:rPr>
          <w:rFonts w:hint="eastAsia"/>
          <w:color w:val="auto"/>
          <w:sz w:val="24"/>
          <w:highlight w:val="none"/>
          <w:lang w:eastAsia="zh-CN"/>
        </w:rPr>
        <w:t>指标认购权转让合同</w:t>
      </w:r>
      <w:r>
        <w:rPr>
          <w:rFonts w:hint="eastAsia"/>
          <w:color w:val="auto"/>
          <w:sz w:val="24"/>
          <w:highlight w:val="none"/>
        </w:rPr>
        <w:t>》等</w:t>
      </w:r>
      <w:r>
        <w:rPr>
          <w:rFonts w:hint="eastAsia"/>
          <w:color w:val="auto"/>
          <w:sz w:val="24"/>
          <w:highlight w:val="none"/>
          <w:lang w:val="en-US" w:eastAsia="zh-CN"/>
        </w:rPr>
        <w:t>则</w:t>
      </w:r>
      <w:r>
        <w:rPr>
          <w:rFonts w:hint="eastAsia"/>
          <w:color w:val="auto"/>
          <w:sz w:val="24"/>
          <w:highlight w:val="none"/>
        </w:rPr>
        <w:t>视为违约，应承担违约责任。</w:t>
      </w:r>
    </w:p>
    <w:p w14:paraId="2CB1D26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w:t>
      </w:r>
      <w:r>
        <w:rPr>
          <w:rFonts w:hint="eastAsia"/>
          <w:color w:val="auto"/>
          <w:sz w:val="24"/>
          <w:highlight w:val="none"/>
          <w:lang w:eastAsia="zh-CN"/>
        </w:rPr>
        <w:t>交易保证金</w:t>
      </w:r>
      <w:r>
        <w:rPr>
          <w:rFonts w:hint="eastAsia"/>
          <w:color w:val="auto"/>
          <w:sz w:val="24"/>
          <w:highlight w:val="none"/>
        </w:rPr>
        <w:t>自动转为违约金，乙方无权要求返还，并愿承担因违约而产生的其它法律责任</w:t>
      </w:r>
      <w:r>
        <w:rPr>
          <w:rFonts w:hint="eastAsia"/>
          <w:color w:val="auto"/>
          <w:sz w:val="24"/>
          <w:highlight w:val="none"/>
          <w:lang w:eastAsia="zh-CN"/>
        </w:rPr>
        <w:t>。</w:t>
      </w:r>
      <w:r>
        <w:rPr>
          <w:rFonts w:hint="eastAsia"/>
          <w:color w:val="auto"/>
          <w:sz w:val="24"/>
          <w:highlight w:val="none"/>
        </w:rPr>
        <w:t>标的再行竞价的，原</w:t>
      </w:r>
      <w:r>
        <w:rPr>
          <w:rFonts w:hint="eastAsia"/>
          <w:color w:val="auto"/>
          <w:sz w:val="24"/>
          <w:highlight w:val="none"/>
          <w:lang w:val="en-US" w:eastAsia="zh-CN"/>
        </w:rPr>
        <w:t>竞得人</w:t>
      </w:r>
      <w:r>
        <w:rPr>
          <w:rFonts w:hint="eastAsia"/>
          <w:color w:val="auto"/>
          <w:sz w:val="24"/>
          <w:highlight w:val="none"/>
        </w:rPr>
        <w:t>应当支付第一次竞价中本人及委托人应当支付的竞价服务费。再行竞价的成交价款低于原成交价款的，原</w:t>
      </w:r>
      <w:r>
        <w:rPr>
          <w:rFonts w:hint="eastAsia"/>
          <w:color w:val="auto"/>
          <w:sz w:val="24"/>
          <w:highlight w:val="none"/>
          <w:lang w:val="en-US" w:eastAsia="zh-CN"/>
        </w:rPr>
        <w:t>竞得</w:t>
      </w:r>
      <w:r>
        <w:rPr>
          <w:rFonts w:hint="eastAsia"/>
          <w:color w:val="auto"/>
          <w:sz w:val="24"/>
          <w:highlight w:val="none"/>
        </w:rPr>
        <w:t>人应当补足差额。</w:t>
      </w:r>
    </w:p>
    <w:p w14:paraId="2063105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58C3BD1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6C77E5D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6162B6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  </w:t>
      </w:r>
    </w:p>
    <w:p w14:paraId="6F99885C">
      <w:pPr>
        <w:spacing w:line="500" w:lineRule="exact"/>
        <w:jc w:val="both"/>
        <w:rPr>
          <w:rFonts w:hint="eastAsia"/>
          <w:color w:val="auto"/>
          <w:sz w:val="24"/>
          <w:highlight w:val="none"/>
          <w:lang w:val="en-US" w:eastAsia="zh-CN"/>
        </w:rPr>
      </w:pPr>
    </w:p>
    <w:p w14:paraId="7C567921">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BD7A3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1756687">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转让方</w:t>
      </w:r>
      <w:r>
        <w:rPr>
          <w:rFonts w:hint="eastAsia"/>
          <w:b/>
          <w:bCs/>
          <w:color w:val="auto"/>
          <w:sz w:val="24"/>
          <w:highlight w:val="none"/>
          <w:lang w:val="en-US" w:eastAsia="zh-CN"/>
        </w:rPr>
        <w:t>:</w:t>
      </w:r>
      <w:r>
        <w:rPr>
          <w:rFonts w:hint="eastAsia"/>
          <w:b w:val="0"/>
          <w:bCs w:val="0"/>
          <w:color w:val="auto"/>
          <w:sz w:val="24"/>
          <w:highlight w:val="none"/>
          <w:lang w:val="en-US" w:eastAsia="zh-CN"/>
        </w:rPr>
        <w:t>温州龙湾区海城街道石坦村股份经济合作社</w:t>
      </w:r>
    </w:p>
    <w:p w14:paraId="74C8DED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4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5152"/>
        <w:gridCol w:w="1750"/>
        <w:gridCol w:w="1667"/>
        <w:gridCol w:w="1383"/>
      </w:tblGrid>
      <w:tr w14:paraId="6F56C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8BA493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4B62D10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p>
          <w:p w14:paraId="055102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16DBE98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1865F7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交易起始价</w:t>
            </w:r>
          </w:p>
        </w:tc>
        <w:tc>
          <w:tcPr>
            <w:tcW w:w="1383" w:type="dxa"/>
            <w:tcBorders>
              <w:top w:val="single" w:color="000000" w:sz="4" w:space="0"/>
              <w:left w:val="nil"/>
              <w:bottom w:val="single" w:color="000000" w:sz="4" w:space="0"/>
              <w:right w:val="single" w:color="auto" w:sz="4" w:space="0"/>
            </w:tcBorders>
            <w:noWrap w:val="0"/>
            <w:vAlign w:val="center"/>
          </w:tcPr>
          <w:p w14:paraId="78948F08">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9A1A56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81D1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960441C">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lang w:val="en-US" w:eastAsia="zh-CN"/>
              </w:rPr>
            </w:pPr>
          </w:p>
          <w:p w14:paraId="50D8478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b/>
                <w:bCs/>
                <w:color w:val="auto"/>
                <w:kern w:val="0"/>
                <w:sz w:val="24"/>
                <w:szCs w:val="24"/>
                <w:lang w:val="en-US" w:eastAsia="zh-CN" w:bidi="ar-SA"/>
              </w:rPr>
              <w:drawing>
                <wp:anchor distT="0" distB="0" distL="114300" distR="114300" simplePos="0" relativeHeight="251672576" behindDoc="1" locked="0" layoutInCell="1" allowOverlap="1">
                  <wp:simplePos x="0" y="0"/>
                  <wp:positionH relativeFrom="column">
                    <wp:posOffset>271780</wp:posOffset>
                  </wp:positionH>
                  <wp:positionV relativeFrom="paragraph">
                    <wp:posOffset>-15240</wp:posOffset>
                  </wp:positionV>
                  <wp:extent cx="5271770" cy="5833110"/>
                  <wp:effectExtent l="0" t="0" r="5080" b="15240"/>
                  <wp:wrapNone/>
                  <wp:docPr id="1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lang w:val="en-US" w:eastAsia="zh-CN"/>
              </w:rPr>
              <w:t>1</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36160570">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65A3FB4E">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default" w:ascii="宋体" w:hAnsi="宋体" w:eastAsia="宋体" w:cs="宋体"/>
                <w:b w:val="0"/>
                <w:bCs/>
                <w:kern w:val="2"/>
                <w:sz w:val="24"/>
                <w:szCs w:val="24"/>
                <w:highlight w:val="none"/>
                <w:lang w:val="en-US"/>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3608587F">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3104B1B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kern w:val="2"/>
                <w:sz w:val="24"/>
                <w:szCs w:val="24"/>
                <w:lang w:val="en-US" w:eastAsia="zh-CN" w:bidi="ar-SA"/>
              </w:rPr>
              <w:t>50万元</w:t>
            </w:r>
          </w:p>
        </w:tc>
      </w:tr>
      <w:tr w14:paraId="25AD5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34E085E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4A456CD5">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054DB54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46FDA456">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441B8E36">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5F111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3BFD0CC8">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715F97EC">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2A242362">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05248A24">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57DAB6E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239D0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63CA4CA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5153" w:type="dxa"/>
            <w:tcBorders>
              <w:top w:val="single" w:color="000000" w:sz="4" w:space="0"/>
              <w:left w:val="single" w:color="000000" w:sz="4" w:space="0"/>
              <w:bottom w:val="single" w:color="000000" w:sz="4" w:space="0"/>
              <w:right w:val="single" w:color="000000" w:sz="4" w:space="0"/>
            </w:tcBorders>
            <w:noWrap w:val="0"/>
            <w:vAlign w:val="center"/>
          </w:tcPr>
          <w:p w14:paraId="62E233F2">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温州市龙湾区海城街道石坦村E-28-1地块三产安置房1个指标认购权(不含造价)</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5487964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约292㎡</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0905FE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102万元</w:t>
            </w:r>
          </w:p>
        </w:tc>
        <w:tc>
          <w:tcPr>
            <w:tcW w:w="1383" w:type="dxa"/>
            <w:tcBorders>
              <w:top w:val="single" w:color="000000" w:sz="4" w:space="0"/>
              <w:left w:val="nil"/>
              <w:bottom w:val="single" w:color="000000" w:sz="4" w:space="0"/>
              <w:right w:val="single" w:color="auto" w:sz="4" w:space="0"/>
            </w:tcBorders>
            <w:noWrap w:val="0"/>
            <w:vAlign w:val="center"/>
          </w:tcPr>
          <w:p w14:paraId="3A24461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50万元</w:t>
            </w:r>
          </w:p>
        </w:tc>
      </w:tr>
      <w:tr w14:paraId="1953D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10703" w:type="dxa"/>
            <w:gridSpan w:val="5"/>
            <w:tcBorders>
              <w:top w:val="single" w:color="000000" w:sz="4" w:space="0"/>
              <w:left w:val="single" w:color="auto" w:sz="4" w:space="0"/>
              <w:bottom w:val="single" w:color="000000" w:sz="4" w:space="0"/>
              <w:right w:val="single" w:color="auto" w:sz="4" w:space="0"/>
            </w:tcBorders>
            <w:noWrap w:val="0"/>
            <w:vAlign w:val="center"/>
          </w:tcPr>
          <w:p w14:paraId="71735A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20" w:lineRule="exact"/>
              <w:ind w:left="0" w:right="0" w:firstLine="480" w:firstLineChars="200"/>
              <w:jc w:val="left"/>
              <w:textAlignment w:val="auto"/>
              <w:rPr>
                <w:rFonts w:hint="eastAsia" w:ascii="宋体" w:hAnsi="宋体" w:eastAsia="宋体" w:cs="宋体"/>
                <w:bCs/>
                <w:sz w:val="24"/>
                <w:szCs w:val="24"/>
                <w:highlight w:val="none"/>
                <w:lang w:val="en-US" w:eastAsia="zh-CN"/>
              </w:rPr>
            </w:pPr>
            <w:r>
              <w:rPr>
                <w:rFonts w:hint="eastAsia" w:ascii="宋体" w:hAnsi="宋体" w:eastAsia="宋体" w:cs="宋体"/>
                <w:bCs/>
                <w:kern w:val="2"/>
                <w:sz w:val="24"/>
                <w:szCs w:val="24"/>
                <w:highlight w:val="none"/>
                <w:lang w:val="en-US" w:eastAsia="zh-CN" w:bidi="ar"/>
              </w:rPr>
              <w:t>注：1.各标的指标面积合计约292㎡（其中包含两套住房，每套建筑面积约137㎡；配套车位2个（无产权证）；一个一层商业门面，建筑面积约18㎡）；实际内容及面积以温州设计集团有限公司设计图纸为准。（标的对应安置房面积最终以证载面积为准，面积如有差异，指标成交价不再另行找补。）</w:t>
            </w:r>
          </w:p>
          <w:p w14:paraId="488BC3B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default" w:ascii="宋体" w:hAnsi="宋体" w:cs="宋体"/>
                <w:color w:val="000000"/>
                <w:kern w:val="2"/>
                <w:sz w:val="24"/>
                <w:szCs w:val="24"/>
                <w:lang w:val="en-US" w:eastAsia="zh-CN" w:bidi="ar-SA"/>
              </w:rPr>
              <w:t>2.上述标的起始价为指标价（不含造价）。竞得人成交标的后，因该指标项下建设安置房所产生的一切费用（包括但不限于安置房造价、车位（地下室）造价、税费、规费、产权证办理费用等）均由</w:t>
            </w:r>
            <w:r>
              <w:rPr>
                <w:rFonts w:hint="eastAsia" w:ascii="宋体" w:hAnsi="宋体" w:cs="宋体"/>
                <w:color w:val="000000"/>
                <w:kern w:val="2"/>
                <w:sz w:val="24"/>
                <w:szCs w:val="24"/>
                <w:lang w:val="en-US" w:eastAsia="zh-CN" w:bidi="ar-SA"/>
              </w:rPr>
              <w:t>竞得</w:t>
            </w:r>
            <w:r>
              <w:rPr>
                <w:rFonts w:hint="default" w:ascii="宋体" w:hAnsi="宋体" w:cs="宋体"/>
                <w:color w:val="000000"/>
                <w:kern w:val="2"/>
                <w:sz w:val="24"/>
                <w:szCs w:val="24"/>
                <w:lang w:val="en-US" w:eastAsia="zh-CN" w:bidi="ar-SA"/>
              </w:rPr>
              <w:t>人自行缴纳并承担。</w:t>
            </w:r>
          </w:p>
          <w:p w14:paraId="408C547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3.上述标的内三产安置房的定位需后期摸文确定。安置房号、商业用房及车位具体摸文分配方案以各指标竞得人与村方自行协商确定。</w:t>
            </w:r>
          </w:p>
          <w:p w14:paraId="194D76F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default" w:ascii="宋体" w:hAnsi="宋体" w:cs="宋体"/>
                <w:color w:val="000000"/>
                <w:kern w:val="2"/>
                <w:sz w:val="24"/>
                <w:szCs w:val="24"/>
                <w:lang w:val="en-US" w:eastAsia="zh-CN" w:bidi="ar-SA"/>
              </w:rPr>
              <w:t>该地块用途为城镇住宅用地兼容零售商业用地（村三产安置房），土地使用权性质：国有出让。</w:t>
            </w:r>
          </w:p>
        </w:tc>
      </w:tr>
    </w:tbl>
    <w:p w14:paraId="6B250A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445A1AD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交付的标的。</w:t>
      </w:r>
    </w:p>
    <w:p w14:paraId="0F539127">
      <w:pPr>
        <w:keepNext w:val="0"/>
        <w:keepLines w:val="0"/>
        <w:pageBreakBefore w:val="0"/>
        <w:widowControl w:val="0"/>
        <w:kinsoku/>
        <w:wordWrap/>
        <w:overflowPunct/>
        <w:topLinePunct w:val="0"/>
        <w:autoSpaceDE/>
        <w:autoSpaceDN/>
        <w:bidi w:val="0"/>
        <w:adjustRightInd/>
        <w:snapToGrid/>
        <w:spacing w:line="440" w:lineRule="exact"/>
        <w:ind w:right="0" w:rightChars="0" w:firstLine="240" w:firstLineChars="1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w:t>
      </w:r>
      <w:r>
        <w:rPr>
          <w:rFonts w:hint="eastAsia" w:ascii="宋体" w:hAnsi="宋体" w:cs="宋体"/>
          <w:color w:val="auto"/>
          <w:sz w:val="24"/>
          <w:szCs w:val="24"/>
          <w:lang w:val="en-US" w:eastAsia="zh-CN"/>
        </w:rPr>
        <w:t>交易</w:t>
      </w:r>
      <w:r>
        <w:rPr>
          <w:rFonts w:hint="eastAsia" w:ascii="宋体" w:hAnsi="宋体" w:eastAsia="宋体" w:cs="宋体"/>
          <w:color w:val="auto"/>
          <w:sz w:val="24"/>
          <w:szCs w:val="24"/>
          <w:lang w:val="en-US" w:eastAsia="zh-CN"/>
        </w:rPr>
        <w:t>价的情况，任何忽视或误解</w:t>
      </w:r>
      <w:r>
        <w:rPr>
          <w:rFonts w:hint="eastAsia" w:ascii="宋体" w:hAnsi="宋体" w:cs="宋体"/>
          <w:color w:val="auto"/>
          <w:sz w:val="24"/>
          <w:szCs w:val="24"/>
          <w:lang w:val="en-US" w:eastAsia="zh-CN"/>
        </w:rPr>
        <w:t>标的物</w:t>
      </w:r>
      <w:r>
        <w:rPr>
          <w:rFonts w:hint="eastAsia" w:ascii="宋体" w:hAnsi="宋体" w:eastAsia="宋体" w:cs="宋体"/>
          <w:color w:val="auto"/>
          <w:sz w:val="24"/>
          <w:szCs w:val="24"/>
          <w:lang w:val="en-US" w:eastAsia="zh-CN"/>
        </w:rPr>
        <w:t>状况的情况而导致的索赔申请均不被竞价主持人及</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3B55F667">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交易保证金以现金存款方式缴纳的，查处后将没收不予退还，产生的相关责任及后果自行承担，与温州市龙湾区农村产权服务中心有限公司无涉。</w:t>
      </w:r>
    </w:p>
    <w:p w14:paraId="3AEE433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r>
        <w:rPr>
          <w:rFonts w:hint="eastAsia" w:ascii="宋体" w:hAnsi="宋体" w:eastAsia="宋体" w:cs="宋体"/>
          <w:b/>
          <w:bCs/>
          <w:color w:val="auto"/>
          <w:kern w:val="0"/>
          <w:sz w:val="24"/>
          <w:szCs w:val="24"/>
          <w:lang w:val="en-US" w:eastAsia="zh-CN" w:bidi="ar-SA"/>
        </w:rPr>
        <w:drawing>
          <wp:anchor distT="0" distB="0" distL="114300" distR="114300" simplePos="0" relativeHeight="251673600" behindDoc="1" locked="0" layoutInCell="1" allowOverlap="1">
            <wp:simplePos x="0" y="0"/>
            <wp:positionH relativeFrom="column">
              <wp:posOffset>-95885</wp:posOffset>
            </wp:positionH>
            <wp:positionV relativeFrom="paragraph">
              <wp:posOffset>144780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4D1DC3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1、竞价人竞价成交后，即为竞得人，须于成交之日起</w:t>
      </w:r>
      <w:r>
        <w:rPr>
          <w:rFonts w:hint="eastAsia" w:ascii="宋体" w:hAnsi="宋体" w:cs="宋体"/>
          <w:color w:val="auto"/>
          <w:sz w:val="24"/>
          <w:szCs w:val="24"/>
          <w:u w:val="single"/>
          <w:lang w:val="en-US" w:eastAsia="zh-CN"/>
        </w:rPr>
        <w:t>3</w:t>
      </w:r>
      <w:r>
        <w:rPr>
          <w:rFonts w:hint="eastAsia" w:ascii="宋体" w:hAnsi="宋体" w:cs="宋体"/>
          <w:color w:val="auto"/>
          <w:sz w:val="24"/>
          <w:szCs w:val="24"/>
          <w:lang w:val="en-US" w:eastAsia="zh-CN"/>
        </w:rPr>
        <w:t>个工作日内前往温州市龙湾区农村产权服务中心有限公司签署《竞价成交确认书》，并在成交之日起</w:t>
      </w:r>
      <w:r>
        <w:rPr>
          <w:rFonts w:hint="eastAsia" w:ascii="宋体" w:hAnsi="宋体" w:cs="宋体"/>
          <w:color w:val="auto"/>
          <w:sz w:val="24"/>
          <w:szCs w:val="24"/>
          <w:u w:val="single"/>
          <w:lang w:val="en-US" w:eastAsia="zh-CN"/>
        </w:rPr>
        <w:t>7</w:t>
      </w:r>
      <w:r>
        <w:rPr>
          <w:rFonts w:hint="eastAsia" w:ascii="宋体" w:hAnsi="宋体" w:cs="宋体"/>
          <w:color w:val="auto"/>
          <w:sz w:val="24"/>
          <w:szCs w:val="24"/>
          <w:lang w:val="en-US" w:eastAsia="zh-CN"/>
        </w:rPr>
        <w:t>日内向温州市龙湾区农村产权服务中心有限公司专用账户一次性支付交易服务费，交易保证金扣除其应交交易手续费后无息退还（不足部分由竞得人补齐）。</w:t>
      </w:r>
    </w:p>
    <w:p w14:paraId="7B95C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CA0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4B33E9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740354A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068A2E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CED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43EB2C0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301FC05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0D9A0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交易总额，采用</w:t>
            </w:r>
            <w:r>
              <w:rPr>
                <w:rFonts w:hint="eastAsia" w:cs="Times New Roman"/>
                <w:b w:val="0"/>
                <w:bCs w:val="0"/>
                <w:i w:val="0"/>
                <w:caps w:val="0"/>
                <w:color w:val="auto"/>
                <w:spacing w:val="0"/>
                <w:w w:val="100"/>
                <w:sz w:val="21"/>
                <w:highlight w:val="none"/>
              </w:rPr>
              <w:t>差额定率累进法计算。</w:t>
            </w:r>
          </w:p>
        </w:tc>
      </w:tr>
      <w:tr w14:paraId="2AFE6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3F42A2C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273EFF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5251B8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DA1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327248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4D02D3E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2C5C7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048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605299A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F3D3B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BC7D5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400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4BCC9F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6D128A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3F3D2952">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8E9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6D504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3444E5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8B7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FB69F8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B49C1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7FE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64D019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24707D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89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4E3986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35BBB7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w:t>
      </w:r>
      <w:r>
        <w:rPr>
          <w:rFonts w:hint="eastAsia"/>
          <w:b w:val="0"/>
          <w:bCs/>
          <w:color w:val="auto"/>
          <w:sz w:val="24"/>
          <w:szCs w:val="24"/>
          <w:highlight w:val="none"/>
          <w:u w:val="single"/>
          <w:lang w:val="en-US" w:eastAsia="zh-CN"/>
        </w:rPr>
        <w:t>30</w:t>
      </w:r>
      <w:r>
        <w:rPr>
          <w:rFonts w:hint="eastAsia"/>
          <w:b w:val="0"/>
          <w:bCs/>
          <w:color w:val="auto"/>
          <w:sz w:val="24"/>
          <w:szCs w:val="24"/>
          <w:highlight w:val="none"/>
          <w:lang w:val="en-US" w:eastAsia="zh-CN"/>
        </w:rPr>
        <w:t>日内与转让方签订《指标认购权转让合同</w:t>
      </w:r>
      <w:r>
        <w:rPr>
          <w:rFonts w:hint="eastAsia"/>
          <w:b w:val="0"/>
          <w:bCs/>
          <w:color w:val="auto"/>
          <w:sz w:val="24"/>
          <w:szCs w:val="24"/>
          <w:lang w:val="en-US" w:eastAsia="zh-CN"/>
        </w:rPr>
        <w:t>》，具体生效时间以转让双方签订的合同为准。</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转让方</w:t>
      </w:r>
      <w:r>
        <w:rPr>
          <w:rFonts w:hint="eastAsia" w:ascii="宋体" w:hAnsi="宋体" w:eastAsia="宋体" w:cs="宋体"/>
          <w:b w:val="0"/>
          <w:bCs w:val="0"/>
          <w:color w:val="auto"/>
          <w:sz w:val="24"/>
          <w:u w:val="none"/>
          <w:lang w:val="en-US" w:eastAsia="zh-CN"/>
        </w:rPr>
        <w:t>按移交时的现场现状移交给竞得人。</w:t>
      </w:r>
    </w:p>
    <w:p w14:paraId="52738A4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五、转让相关事项说明：</w:t>
      </w:r>
    </w:p>
    <w:p w14:paraId="1062F0E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1、标的对应安置房物业专项维修资金包括但不限于</w:t>
      </w:r>
      <w:r>
        <w:rPr>
          <w:rFonts w:hint="eastAsia" w:ascii="宋体" w:hAnsi="宋体"/>
          <w:sz w:val="24"/>
          <w:szCs w:val="24"/>
        </w:rPr>
        <w:t>水、电、</w:t>
      </w:r>
      <w:r>
        <w:rPr>
          <w:rFonts w:hint="eastAsia" w:ascii="宋体" w:hAnsi="宋体"/>
          <w:sz w:val="24"/>
          <w:szCs w:val="24"/>
          <w:lang w:val="en-US" w:eastAsia="zh-CN"/>
        </w:rPr>
        <w:t>煤等开户、户名变更手续及相关费用</w:t>
      </w:r>
      <w:r>
        <w:rPr>
          <w:rFonts w:hint="eastAsia" w:ascii="宋体" w:hAnsi="宋体"/>
          <w:sz w:val="24"/>
          <w:szCs w:val="24"/>
        </w:rPr>
        <w:t>，均由</w:t>
      </w:r>
      <w:r>
        <w:rPr>
          <w:rFonts w:hint="eastAsia" w:ascii="宋体" w:hAnsi="宋体"/>
          <w:sz w:val="24"/>
          <w:szCs w:val="24"/>
          <w:lang w:val="en-US"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转让方</w:t>
      </w:r>
      <w:r>
        <w:rPr>
          <w:rFonts w:hint="eastAsia" w:ascii="宋体" w:hAnsi="宋体"/>
          <w:sz w:val="24"/>
          <w:szCs w:val="24"/>
          <w:u w:val="single"/>
        </w:rPr>
        <w:t>因</w:t>
      </w:r>
      <w:r>
        <w:rPr>
          <w:rFonts w:hint="eastAsia" w:ascii="宋体" w:hAnsi="宋体"/>
          <w:sz w:val="24"/>
          <w:szCs w:val="24"/>
          <w:u w:val="single"/>
          <w:lang w:eastAsia="zh-CN"/>
        </w:rPr>
        <w:t>转让</w:t>
      </w:r>
      <w:r>
        <w:rPr>
          <w:rFonts w:hint="eastAsia" w:ascii="宋体" w:hAnsi="宋体"/>
          <w:sz w:val="24"/>
          <w:szCs w:val="24"/>
          <w:u w:val="single"/>
        </w:rPr>
        <w:t>关系需向税务等有关部门缴纳的一切税费）</w:t>
      </w:r>
      <w:r>
        <w:rPr>
          <w:rFonts w:hint="eastAsia" w:ascii="宋体" w:hAnsi="宋体"/>
          <w:sz w:val="24"/>
          <w:szCs w:val="24"/>
        </w:rPr>
        <w:t>。</w:t>
      </w:r>
    </w:p>
    <w:p w14:paraId="3967EB8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7DB3DF31">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3、竞得人不得在配套附属用房内私自乱拉电线，存放任何易燃、易爆违禁品，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竞得人</w:t>
      </w:r>
      <w:r>
        <w:rPr>
          <w:rFonts w:hint="eastAsia" w:ascii="宋体" w:hAnsi="宋体" w:cs="宋体"/>
          <w:color w:val="auto"/>
          <w:sz w:val="24"/>
          <w:szCs w:val="24"/>
        </w:rPr>
        <w:t>负责。</w:t>
      </w:r>
    </w:p>
    <w:p w14:paraId="5D463F58">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4、竞得人应合法使用标的，不得利用其进行违法经营或者从事违法活动或改变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竞得人</w:t>
      </w:r>
      <w:r>
        <w:rPr>
          <w:rFonts w:hint="eastAsia" w:ascii="宋体" w:hAnsi="宋体" w:cs="宋体"/>
          <w:color w:val="auto"/>
          <w:sz w:val="24"/>
          <w:szCs w:val="24"/>
        </w:rPr>
        <w:t>在</w:t>
      </w:r>
      <w:r>
        <w:rPr>
          <w:rFonts w:hint="eastAsia" w:ascii="宋体" w:hAnsi="宋体" w:cs="宋体"/>
          <w:color w:val="auto"/>
          <w:sz w:val="24"/>
          <w:szCs w:val="24"/>
          <w:lang w:val="en-US" w:eastAsia="zh-CN"/>
        </w:rPr>
        <w:t>使用期间</w:t>
      </w:r>
      <w:r>
        <w:rPr>
          <w:rFonts w:hint="eastAsia" w:ascii="宋体" w:hAnsi="宋体" w:cs="宋体"/>
          <w:color w:val="auto"/>
          <w:sz w:val="24"/>
          <w:szCs w:val="24"/>
        </w:rPr>
        <w:t>如有违法行为，由其自行承担一切责任。</w:t>
      </w:r>
    </w:p>
    <w:p w14:paraId="3149DF0F">
      <w:pPr>
        <w:keepNext w:val="0"/>
        <w:keepLines w:val="0"/>
        <w:pageBreakBefore w:val="0"/>
        <w:widowControl w:val="0"/>
        <w:kinsoku/>
        <w:wordWrap/>
        <w:overflowPunct/>
        <w:topLinePunct w:val="0"/>
        <w:autoSpaceDE/>
        <w:autoSpaceDN/>
        <w:bidi w:val="0"/>
        <w:adjustRightInd/>
        <w:snapToGrid/>
        <w:spacing w:line="440" w:lineRule="exact"/>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本次竞价标的起始价、成交价均不含安置房造价、车位（地下室）造价、竞得人在标的物交割、过户时所发生的全部费用和税费。竞得人成交标的后，因该指标项下建设安置房所产生的一切费用(包括安置房造价、地下室车位造价、税费、规费、产权证办理费用等)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人自行缴纳并承担。</w:t>
      </w:r>
    </w:p>
    <w:p w14:paraId="57025121">
      <w:pPr>
        <w:keepNext w:val="0"/>
        <w:keepLines w:val="0"/>
        <w:pageBreakBefore w:val="0"/>
        <w:widowControl w:val="0"/>
        <w:kinsoku/>
        <w:wordWrap/>
        <w:overflowPunct/>
        <w:topLinePunct w:val="0"/>
        <w:autoSpaceDE/>
        <w:autoSpaceDN/>
        <w:bidi w:val="0"/>
        <w:adjustRightInd/>
        <w:snapToGrid/>
        <w:spacing w:line="440" w:lineRule="exact"/>
        <w:ind w:right="0" w:rightChars="0" w:firstLine="482" w:firstLineChars="200"/>
        <w:contextualSpacing/>
        <w:textAlignment w:val="auto"/>
        <w:outlineLvl w:val="9"/>
        <w:rPr>
          <w:rFonts w:hint="eastAsia" w:ascii="宋体" w:hAnsi="宋体" w:eastAsia="宋体" w:cs="Times New Roman"/>
          <w:sz w:val="24"/>
          <w:szCs w:val="24"/>
        </w:rPr>
      </w:pPr>
      <w:r>
        <w:rPr>
          <w:rFonts w:hint="eastAsia" w:ascii="宋体" w:hAnsi="宋体" w:eastAsia="宋体" w:cs="宋体"/>
          <w:b/>
          <w:bCs/>
          <w:color w:val="auto"/>
          <w:sz w:val="24"/>
          <w:szCs w:val="24"/>
          <w:u w:val="single"/>
          <w:lang w:val="en-US" w:eastAsia="zh-CN"/>
        </w:rPr>
        <w:t>6、标的对应安置房产权初始登记及土地使用权转移登记均先立于委托人名下，可办理权属变更时，委托人提供办理过户变更登记手续所需资料，尽力配合</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人办理过户变更手续，办理变更手续费用及其衍生风险均由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人自行承担；办理不动产权证初始登记(办理到委托人名下)的税款及费用由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人承担；在办理不动产权证过户中，因转让产生的相关税、费(包括二次过户)按照国家有关规定由买卖双方应缴纳的一切税、费均由</w:t>
      </w:r>
      <w:r>
        <w:rPr>
          <w:rFonts w:hint="eastAsia" w:ascii="宋体" w:hAnsi="宋体" w:cs="宋体"/>
          <w:b/>
          <w:bCs/>
          <w:color w:val="auto"/>
          <w:sz w:val="24"/>
          <w:szCs w:val="24"/>
          <w:u w:val="single"/>
          <w:lang w:val="en-US" w:eastAsia="zh-CN"/>
        </w:rPr>
        <w:t>竞得</w:t>
      </w:r>
      <w:r>
        <w:rPr>
          <w:rFonts w:hint="eastAsia" w:ascii="宋体" w:hAnsi="宋体" w:eastAsia="宋体" w:cs="宋体"/>
          <w:b/>
          <w:bCs/>
          <w:color w:val="auto"/>
          <w:sz w:val="24"/>
          <w:szCs w:val="24"/>
          <w:u w:val="single"/>
          <w:lang w:val="en-US" w:eastAsia="zh-CN"/>
        </w:rPr>
        <w:t>人承担。</w:t>
      </w:r>
    </w:p>
    <w:p w14:paraId="3603E4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9D4B07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5AD6B2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w:t>
      </w:r>
      <w:r>
        <w:rPr>
          <w:rFonts w:hint="eastAsia" w:ascii="宋体" w:hAnsi="宋体" w:eastAsia="宋体" w:cs="宋体"/>
          <w:b/>
          <w:bCs/>
          <w:color w:val="auto"/>
          <w:kern w:val="0"/>
          <w:sz w:val="24"/>
          <w:szCs w:val="24"/>
          <w:lang w:val="en-US" w:eastAsia="zh-CN" w:bidi="ar-SA"/>
        </w:rPr>
        <w:drawing>
          <wp:anchor distT="0" distB="0" distL="114300" distR="114300" simplePos="0" relativeHeight="251674624" behindDoc="1" locked="0" layoutInCell="1" allowOverlap="1">
            <wp:simplePos x="0" y="0"/>
            <wp:positionH relativeFrom="column">
              <wp:posOffset>-95885</wp:posOffset>
            </wp:positionH>
            <wp:positionV relativeFrom="paragraph">
              <wp:posOffset>-2702560</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件为准。</w:t>
      </w:r>
    </w:p>
    <w:p w14:paraId="5A9B77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追索交易保证金利息及其他任何费用与责任。</w:t>
      </w:r>
    </w:p>
    <w:p w14:paraId="790DA3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转让</w:t>
      </w:r>
      <w:r>
        <w:rPr>
          <w:rFonts w:hint="eastAsia" w:ascii="宋体" w:hAnsi="宋体" w:eastAsia="宋体"/>
          <w:color w:val="auto"/>
          <w:sz w:val="24"/>
          <w:szCs w:val="22"/>
        </w:rPr>
        <w:t>双方的所有权利、义务、责任、交付使用、</w:t>
      </w:r>
      <w:r>
        <w:rPr>
          <w:rFonts w:hint="eastAsia" w:ascii="宋体" w:hAnsi="宋体"/>
          <w:color w:val="auto"/>
          <w:sz w:val="24"/>
          <w:szCs w:val="22"/>
          <w:lang w:val="en-US" w:eastAsia="zh-CN"/>
        </w:rPr>
        <w:t>款项</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eastAsia="zh-CN"/>
        </w:rPr>
        <w:t>指标认购权转让合同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3BF523B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E92C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2025年6月25日</w:t>
      </w:r>
      <w:r>
        <w:rPr>
          <w:rFonts w:hint="eastAsia"/>
          <w:color w:val="auto"/>
          <w:sz w:val="24"/>
          <w:highlight w:val="none"/>
        </w:rPr>
        <w:t xml:space="preserve"> </w:t>
      </w:r>
    </w:p>
    <w:p w14:paraId="421727F8">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66040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844D0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F33121B">
                            <w:pPr>
                              <w:pStyle w:val="3"/>
                              <w:rPr>
                                <w:rFonts w:hint="eastAsia"/>
                                <w:lang w:eastAsia="zh-CN"/>
                              </w:rPr>
                            </w:pPr>
                          </w:p>
                          <w:p w14:paraId="4A4CD5C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5.5pt;margin-top:5.2pt;height:78.3pt;width:461.4pt;z-index:251670528;mso-width-relative:page;mso-height-relative:page;" fillcolor="#FFFFFF" filled="t" stroked="t" coordsize="21600,21600" o:gfxdata="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N4l1TYAAAA&#10;CQEAAA8AAAAAAAAAAQAgAAAAIgAAAGRycy9kb3ducmV2LnhtbFBLAQIUABQAAAAIAIdO4kB+LZzs&#10;HQIAAFMEAAAOAAAAAAAAAAEAIAAAACcBAABkcnMvZTJvRG9jLnhtbFBLBQYAAAAABgAGAFkBAAC2&#10;BQAAAAA=&#10;">
                <v:fill on="t" focussize="0,0"/>
                <v:stroke color="#000000" joinstyle="miter"/>
                <v:imagedata o:title=""/>
                <o:lock v:ext="edit" aspectratio="f"/>
                <v:textbox>
                  <w:txbxContent>
                    <w:p w14:paraId="16844D00">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F33121B">
                      <w:pPr>
                        <w:pStyle w:val="3"/>
                        <w:rPr>
                          <w:rFonts w:hint="eastAsia"/>
                          <w:lang w:eastAsia="zh-CN"/>
                        </w:rPr>
                      </w:pPr>
                    </w:p>
                    <w:p w14:paraId="4A4CD5C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0D2645B">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145" w:bottom="1440" w:left="1145" w:header="851" w:footer="992" w:gutter="0"/>
          <w:pgNumType w:fmt="decimal" w:start="1"/>
          <w:cols w:space="720" w:num="1"/>
          <w:titlePg/>
          <w:docGrid w:type="lines" w:linePitch="312" w:charSpace="0"/>
        </w:sectPr>
      </w:pPr>
    </w:p>
    <w:p w14:paraId="196E398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BAB7DE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7月2日上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CCD6915">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指标</w:t>
      </w:r>
      <w:r>
        <w:rPr>
          <w:rFonts w:hint="eastAsia"/>
          <w:b/>
          <w:bCs/>
          <w:color w:val="auto"/>
          <w:sz w:val="24"/>
          <w:highlight w:val="none"/>
          <w:u w:val="single"/>
          <w:lang w:val="en-US" w:eastAsia="zh"/>
        </w:rPr>
        <w:t>面积</w:t>
      </w:r>
      <w:r>
        <w:rPr>
          <w:rFonts w:hint="eastAsia"/>
          <w:b/>
          <w:bCs/>
          <w:color w:val="auto"/>
          <w:sz w:val="24"/>
          <w:highlight w:val="none"/>
          <w:u w:val="single"/>
          <w:lang w:val="en-US" w:eastAsia="zh-CN"/>
        </w:rPr>
        <w:t xml:space="preserve">合计约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交易起始价     元。</w:t>
      </w:r>
    </w:p>
    <w:p w14:paraId="3E872439">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交易成交价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标的地块</w:t>
      </w:r>
      <w:r>
        <w:rPr>
          <w:rFonts w:hint="eastAsia" w:ascii="宋体" w:hAnsi="宋体"/>
          <w:b/>
          <w:bCs/>
          <w:color w:val="auto"/>
          <w:sz w:val="24"/>
          <w:highlight w:val="none"/>
        </w:rPr>
        <w:t>用途为</w:t>
      </w:r>
      <w:r>
        <w:rPr>
          <w:rFonts w:hint="eastAsia" w:ascii="宋体" w:hAnsi="宋体"/>
          <w:b/>
          <w:bCs/>
          <w:color w:val="auto"/>
          <w:sz w:val="24"/>
          <w:highlight w:val="none"/>
          <w:u w:val="single"/>
        </w:rPr>
        <w:t>城镇住宅用地兼容零售商业用地（村三产安置房）</w:t>
      </w:r>
      <w:r>
        <w:rPr>
          <w:rFonts w:hint="eastAsia" w:ascii="宋体" w:hAnsi="宋体"/>
          <w:b/>
          <w:bCs/>
          <w:color w:val="auto"/>
          <w:sz w:val="24"/>
          <w:highlight w:val="none"/>
        </w:rPr>
        <w:t>，土地使用权性质：</w:t>
      </w:r>
      <w:r>
        <w:rPr>
          <w:rFonts w:hint="eastAsia" w:ascii="宋体" w:hAnsi="宋体"/>
          <w:b/>
          <w:bCs/>
          <w:color w:val="auto"/>
          <w:sz w:val="24"/>
          <w:highlight w:val="none"/>
          <w:u w:val="single"/>
        </w:rPr>
        <w:t>国有出让</w:t>
      </w:r>
      <w:r>
        <w:rPr>
          <w:rFonts w:hint="eastAsia" w:ascii="宋体" w:hAnsi="宋体"/>
          <w:b/>
          <w:bCs/>
          <w:color w:val="auto"/>
          <w:sz w:val="24"/>
          <w:highlight w:val="none"/>
          <w:lang w:eastAsia="zh-CN"/>
        </w:rPr>
        <w:t>。</w:t>
      </w:r>
    </w:p>
    <w:p w14:paraId="3681D73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14401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15E99A3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2025年7月</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交易成交金额</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交易保证金扣除其应交交易服务费后</w:t>
      </w:r>
      <w:r>
        <w:rPr>
          <w:rFonts w:hint="eastAsia" w:ascii="宋体" w:hAnsi="宋体" w:eastAsia="宋体" w:cs="Times New Roman"/>
          <w:color w:val="auto"/>
          <w:kern w:val="2"/>
          <w:sz w:val="24"/>
          <w:szCs w:val="24"/>
          <w:u w:val="none"/>
          <w:lang w:val="en-US" w:eastAsia="zh-CN" w:bidi="ar-SA"/>
        </w:rPr>
        <w:t>转为相应的交易</w:t>
      </w:r>
      <w:r>
        <w:rPr>
          <w:rFonts w:hint="eastAsia" w:ascii="宋体" w:hAnsi="宋体" w:cs="Times New Roman"/>
          <w:color w:val="auto"/>
          <w:kern w:val="2"/>
          <w:sz w:val="24"/>
          <w:szCs w:val="24"/>
          <w:u w:val="none"/>
          <w:lang w:val="en-US" w:eastAsia="zh-CN" w:bidi="ar-SA"/>
        </w:rPr>
        <w:t>成交</w:t>
      </w:r>
      <w:r>
        <w:rPr>
          <w:rFonts w:hint="eastAsia" w:ascii="宋体" w:hAnsi="宋体" w:eastAsia="宋体" w:cs="Times New Roman"/>
          <w:color w:val="auto"/>
          <w:kern w:val="2"/>
          <w:sz w:val="24"/>
          <w:szCs w:val="24"/>
          <w:u w:val="none"/>
          <w:lang w:val="en-US" w:eastAsia="zh-CN" w:bidi="ar-SA"/>
        </w:rPr>
        <w:t>金额</w:t>
      </w:r>
      <w:r>
        <w:rPr>
          <w:rFonts w:hint="eastAsia" w:ascii="宋体" w:hAnsi="宋体" w:eastAsia="宋体" w:cs="宋体"/>
          <w:bCs/>
          <w:color w:val="auto"/>
          <w:sz w:val="24"/>
          <w:szCs w:val="24"/>
          <w:lang w:val="en-US" w:eastAsia="zh-CN"/>
        </w:rPr>
        <w:t>。</w:t>
      </w:r>
    </w:p>
    <w:p w14:paraId="2BDACCC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18C4EA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交易成交金额及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交易保证金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AEA612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具体转让事项以竞得人与温州龙湾区海城街道石坦村股份经济合作社</w:t>
      </w:r>
      <w:r>
        <w:rPr>
          <w:rFonts w:hint="eastAsia"/>
          <w:color w:val="auto"/>
          <w:sz w:val="24"/>
          <w:highlight w:val="none"/>
          <w:lang w:eastAsia="zh-CN"/>
        </w:rPr>
        <w:t>签订的《</w:t>
      </w:r>
      <w:r>
        <w:rPr>
          <w:rFonts w:hint="eastAsia"/>
          <w:color w:val="auto"/>
          <w:sz w:val="24"/>
          <w:highlight w:val="none"/>
          <w:lang w:val="en-US" w:eastAsia="zh-CN"/>
        </w:rPr>
        <w:t>指标认购权转让合同</w:t>
      </w:r>
      <w:r>
        <w:rPr>
          <w:rFonts w:hint="eastAsia"/>
          <w:color w:val="auto"/>
          <w:sz w:val="24"/>
          <w:highlight w:val="none"/>
          <w:lang w:eastAsia="zh-CN"/>
        </w:rPr>
        <w:t>》</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C9D3D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CDA5C37">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转让方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598A040C">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7BAEB5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转让方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A28902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BEB0B7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FB9900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7</w:t>
      </w:r>
      <w:r>
        <w:rPr>
          <w:rFonts w:hint="eastAsia" w:ascii="宋体" w:hAnsi="宋体" w:eastAsia="宋体"/>
          <w:color w:val="auto"/>
          <w:kern w:val="2"/>
          <w:sz w:val="24"/>
          <w:szCs w:val="24"/>
          <w:highlight w:val="none"/>
          <w:lang w:val="en-US" w:eastAsia="zh-CN" w:bidi="ar-SA"/>
        </w:rPr>
        <w:t>月  日</w:t>
      </w:r>
    </w:p>
    <w:p w14:paraId="32D0E5C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5FA19D3">
      <w:pPr>
        <w:rPr>
          <w:rFonts w:hint="eastAsia" w:ascii="黑体" w:hAnsi="宋体" w:eastAsia="黑体"/>
          <w:b/>
          <w:sz w:val="44"/>
          <w:szCs w:val="44"/>
          <w:highlight w:val="none"/>
          <w:lang w:eastAsia="zh-CN"/>
        </w:rPr>
      </w:pPr>
      <w:r>
        <w:rPr>
          <w:rFonts w:hint="eastAsia" w:ascii="黑体" w:hAnsi="宋体" w:eastAsia="黑体"/>
          <w:b/>
          <w:sz w:val="44"/>
          <w:szCs w:val="44"/>
          <w:highlight w:val="none"/>
          <w:lang w:eastAsia="zh-CN"/>
        </w:rPr>
        <w:br w:type="page"/>
      </w:r>
    </w:p>
    <w:p w14:paraId="507EF1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lang w:eastAsia="zh-CN"/>
        </w:rPr>
        <w:t>指标认购权转让合同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790918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rPr>
      </w:pPr>
      <w:r>
        <w:rPr>
          <w:rFonts w:hint="eastAsia"/>
          <w:sz w:val="24"/>
          <w:szCs w:val="24"/>
          <w:highlight w:val="none"/>
        </w:rPr>
        <w:t>转让方： 温州市龙湾区海城街道</w:t>
      </w:r>
      <w:r>
        <w:rPr>
          <w:rFonts w:hint="eastAsia"/>
          <w:sz w:val="24"/>
          <w:szCs w:val="24"/>
          <w:highlight w:val="none"/>
          <w:lang w:val="en-US" w:eastAsia="zh-CN"/>
        </w:rPr>
        <w:t>石坦</w:t>
      </w:r>
      <w:r>
        <w:rPr>
          <w:rFonts w:hint="eastAsia"/>
          <w:sz w:val="24"/>
          <w:szCs w:val="24"/>
          <w:highlight w:val="none"/>
        </w:rPr>
        <w:t xml:space="preserve">村股份经济合作社                                </w:t>
      </w:r>
    </w:p>
    <w:p w14:paraId="06A640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住  址：</w:t>
      </w:r>
      <w:r>
        <w:rPr>
          <w:rFonts w:hint="eastAsia"/>
          <w:sz w:val="24"/>
          <w:szCs w:val="24"/>
          <w:highlight w:val="none"/>
          <w:u w:val="single"/>
        </w:rPr>
        <w:t xml:space="preserve">                                                                        </w:t>
      </w:r>
    </w:p>
    <w:p w14:paraId="29300E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联系人及电话：</w:t>
      </w:r>
      <w:r>
        <w:rPr>
          <w:rFonts w:hint="eastAsia"/>
          <w:sz w:val="24"/>
          <w:szCs w:val="24"/>
          <w:highlight w:val="none"/>
          <w:u w:val="single"/>
        </w:rPr>
        <w:t xml:space="preserve">                                                                  </w:t>
      </w:r>
    </w:p>
    <w:p w14:paraId="04B0AD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受让方：</w:t>
      </w:r>
      <w:r>
        <w:rPr>
          <w:rFonts w:hint="eastAsia"/>
          <w:sz w:val="24"/>
          <w:szCs w:val="24"/>
          <w:highlight w:val="none"/>
          <w:u w:val="single"/>
        </w:rPr>
        <w:t xml:space="preserve">                        </w:t>
      </w:r>
      <w:r>
        <w:rPr>
          <w:rFonts w:hint="eastAsia"/>
          <w:sz w:val="24"/>
          <w:szCs w:val="24"/>
          <w:highlight w:val="none"/>
        </w:rPr>
        <w:t xml:space="preserve"> 身份证号码/组织机构代码：</w:t>
      </w:r>
      <w:r>
        <w:rPr>
          <w:rFonts w:hint="eastAsia"/>
          <w:sz w:val="24"/>
          <w:szCs w:val="24"/>
          <w:highlight w:val="none"/>
          <w:u w:val="single"/>
        </w:rPr>
        <w:t xml:space="preserve">                      </w:t>
      </w:r>
    </w:p>
    <w:p w14:paraId="0349ACC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4"/>
          <w:highlight w:val="none"/>
          <w:u w:val="single"/>
        </w:rPr>
      </w:pPr>
      <w:r>
        <w:rPr>
          <w:rFonts w:hint="eastAsia"/>
          <w:sz w:val="24"/>
          <w:szCs w:val="24"/>
          <w:highlight w:val="none"/>
        </w:rPr>
        <w:t>住  址：</w:t>
      </w:r>
      <w:r>
        <w:rPr>
          <w:rFonts w:hint="eastAsia"/>
          <w:sz w:val="24"/>
          <w:szCs w:val="24"/>
          <w:highlight w:val="none"/>
          <w:u w:val="single"/>
        </w:rPr>
        <w:t xml:space="preserve">                                                                        </w:t>
      </w:r>
    </w:p>
    <w:p w14:paraId="76563FCB">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sz w:val="24"/>
          <w:szCs w:val="24"/>
          <w:highlight w:val="none"/>
          <w:u w:val="singl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678815</wp:posOffset>
            </wp:positionH>
            <wp:positionV relativeFrom="paragraph">
              <wp:posOffset>133985</wp:posOffset>
            </wp:positionV>
            <wp:extent cx="5271770" cy="5833110"/>
            <wp:effectExtent l="0" t="0" r="5080" b="15240"/>
            <wp:wrapNone/>
            <wp:docPr id="25"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sz w:val="24"/>
          <w:szCs w:val="24"/>
          <w:highlight w:val="none"/>
        </w:rPr>
        <w:t>联系人及电话：</w:t>
      </w:r>
      <w:r>
        <w:rPr>
          <w:rFonts w:hint="eastAsia"/>
          <w:sz w:val="24"/>
          <w:szCs w:val="24"/>
          <w:highlight w:val="none"/>
          <w:u w:val="single"/>
        </w:rPr>
        <w:t xml:space="preserve">                                                                  </w:t>
      </w:r>
    </w:p>
    <w:p w14:paraId="5F36A46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根据《中华人民共和国民法典》《中华人民共和国土地管理法》及其他有关法律、法规的</w:t>
      </w:r>
      <w:r>
        <w:rPr>
          <w:rFonts w:hint="eastAsia" w:ascii="宋体" w:hAnsi="宋体" w:cs="宋体"/>
          <w:sz w:val="24"/>
          <w:szCs w:val="24"/>
          <w:lang w:val="en-US" w:eastAsia="zh-CN"/>
        </w:rPr>
        <w:t>相关</w:t>
      </w:r>
      <w:r>
        <w:rPr>
          <w:rFonts w:hint="eastAsia" w:ascii="宋体" w:hAnsi="宋体" w:eastAsia="宋体" w:cs="宋体"/>
          <w:sz w:val="24"/>
          <w:szCs w:val="24"/>
        </w:rPr>
        <w:t>规定，经受让方、转让方在平等、自愿、公平、协商一致的基础上，就本合同所涉转让事宜，达成如下协议</w:t>
      </w:r>
      <w:r>
        <w:rPr>
          <w:rFonts w:hint="eastAsia" w:ascii="宋体" w:hAnsi="宋体" w:cs="宋体"/>
          <w:sz w:val="24"/>
          <w:szCs w:val="24"/>
          <w:lang w:eastAsia="zh-CN"/>
        </w:rPr>
        <w:t>：</w:t>
      </w:r>
      <w:r>
        <w:rPr>
          <w:rFonts w:hint="eastAsia" w:ascii="宋体" w:hAnsi="宋体" w:cs="宋体"/>
          <w:sz w:val="24"/>
          <w:szCs w:val="24"/>
          <w:lang w:val="en-US" w:eastAsia="zh-CN"/>
        </w:rPr>
        <w:t xml:space="preserve">   </w:t>
      </w:r>
    </w:p>
    <w:p w14:paraId="5D64A4F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cs="宋体"/>
          <w:b/>
          <w:sz w:val="24"/>
          <w:szCs w:val="24"/>
          <w:lang w:val="en-US" w:eastAsia="zh-CN"/>
        </w:rPr>
      </w:pPr>
      <w:r>
        <w:rPr>
          <w:rFonts w:hint="eastAsia" w:ascii="宋体" w:hAnsi="宋体" w:eastAsia="宋体" w:cs="宋体"/>
          <w:b/>
          <w:sz w:val="24"/>
          <w:szCs w:val="24"/>
        </w:rPr>
        <w:t>第一条</w:t>
      </w:r>
      <w:r>
        <w:rPr>
          <w:rFonts w:hint="eastAsia" w:ascii="宋体" w:hAnsi="宋体" w:cs="宋体"/>
          <w:b/>
          <w:sz w:val="24"/>
          <w:szCs w:val="24"/>
          <w:lang w:val="en-US" w:eastAsia="zh-CN"/>
        </w:rPr>
        <w:t xml:space="preserve">  标的信息</w:t>
      </w:r>
    </w:p>
    <w:p w14:paraId="700FC1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转让方所转让</w:t>
      </w:r>
      <w:r>
        <w:rPr>
          <w:rFonts w:hint="eastAsia" w:ascii="宋体" w:hAnsi="宋体" w:eastAsia="宋体" w:cs="宋体"/>
          <w:sz w:val="24"/>
          <w:szCs w:val="24"/>
          <w:u w:val="single"/>
        </w:rPr>
        <w:t>温州市龙湾区海城街道石坦村E-28-1地块三产安置房</w:t>
      </w:r>
      <w:r>
        <w:rPr>
          <w:rFonts w:hint="eastAsia" w:ascii="宋体" w:hAnsi="宋体" w:eastAsia="宋体" w:cs="宋体"/>
          <w:sz w:val="24"/>
          <w:szCs w:val="24"/>
          <w:u w:val="none"/>
        </w:rPr>
        <w:t>剩余</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none"/>
        </w:rPr>
        <w:t>个</w:t>
      </w:r>
      <w:r>
        <w:rPr>
          <w:rFonts w:hint="eastAsia" w:ascii="宋体" w:hAnsi="宋体" w:eastAsia="宋体" w:cs="宋体"/>
          <w:sz w:val="24"/>
          <w:szCs w:val="24"/>
          <w:u w:val="single"/>
        </w:rPr>
        <w:t>指标认购权</w:t>
      </w:r>
      <w:r>
        <w:rPr>
          <w:rFonts w:hint="eastAsia" w:ascii="宋体" w:hAnsi="宋体" w:eastAsia="宋体" w:cs="宋体"/>
          <w:sz w:val="24"/>
          <w:szCs w:val="24"/>
          <w:u w:val="none"/>
        </w:rPr>
        <w:t>(不含造价)</w:t>
      </w:r>
      <w:r>
        <w:rPr>
          <w:rFonts w:hint="eastAsia" w:ascii="宋体" w:hAnsi="宋体" w:eastAsia="宋体" w:cs="宋体"/>
          <w:sz w:val="24"/>
          <w:szCs w:val="24"/>
        </w:rPr>
        <w:t>（以下称该项目）坐落于</w:t>
      </w:r>
      <w:r>
        <w:rPr>
          <w:rFonts w:hint="eastAsia" w:ascii="宋体" w:hAnsi="宋体" w:cs="宋体"/>
          <w:sz w:val="24"/>
          <w:szCs w:val="24"/>
          <w:lang w:eastAsia="zh-CN"/>
        </w:rPr>
        <w:t>：</w:t>
      </w:r>
      <w:r>
        <w:rPr>
          <w:rFonts w:hint="eastAsia" w:ascii="宋体" w:hAnsi="宋体" w:eastAsia="宋体" w:cs="宋体"/>
          <w:sz w:val="24"/>
          <w:szCs w:val="24"/>
          <w:u w:val="single"/>
        </w:rPr>
        <w:t>温州市龙湾区海城街道石坦村E-28-1地块</w:t>
      </w:r>
      <w:r>
        <w:rPr>
          <w:rFonts w:hint="eastAsia" w:ascii="宋体" w:hAnsi="宋体" w:eastAsia="宋体" w:cs="宋体"/>
          <w:sz w:val="24"/>
          <w:szCs w:val="24"/>
        </w:rPr>
        <w:t>，</w:t>
      </w:r>
      <w:r>
        <w:rPr>
          <w:rFonts w:hint="eastAsia" w:ascii="宋体" w:hAnsi="宋体" w:cs="宋体"/>
          <w:sz w:val="24"/>
          <w:szCs w:val="24"/>
          <w:lang w:val="en-US" w:eastAsia="zh-CN"/>
        </w:rPr>
        <w:t>指标面积合计约</w:t>
      </w:r>
      <w:r>
        <w:rPr>
          <w:rFonts w:hint="eastAsia" w:ascii="宋体" w:hAnsi="宋体" w:cs="宋体"/>
          <w:sz w:val="24"/>
          <w:szCs w:val="24"/>
          <w:u w:val="single"/>
          <w:lang w:val="en-US" w:eastAsia="zh-CN"/>
        </w:rPr>
        <w:t>292㎡</w:t>
      </w:r>
      <w:r>
        <w:rPr>
          <w:rFonts w:hint="eastAsia" w:ascii="宋体" w:hAnsi="宋体" w:cs="宋体"/>
          <w:sz w:val="24"/>
          <w:szCs w:val="24"/>
          <w:u w:val="none"/>
          <w:lang w:val="en-US" w:eastAsia="zh-CN"/>
        </w:rPr>
        <w:t>，该地块用途为</w:t>
      </w:r>
      <w:r>
        <w:rPr>
          <w:rFonts w:hint="eastAsia" w:ascii="宋体" w:hAnsi="宋体" w:cs="宋体"/>
          <w:sz w:val="24"/>
          <w:szCs w:val="24"/>
          <w:u w:val="single"/>
          <w:lang w:val="en-US" w:eastAsia="zh-CN"/>
        </w:rPr>
        <w:t>城镇住宅用地兼容零售商业用地（村三产安置房）</w:t>
      </w:r>
      <w:r>
        <w:rPr>
          <w:rFonts w:hint="eastAsia" w:ascii="宋体" w:hAnsi="宋体" w:cs="宋体"/>
          <w:sz w:val="24"/>
          <w:szCs w:val="24"/>
          <w:u w:val="none"/>
          <w:lang w:val="en-US" w:eastAsia="zh-CN"/>
        </w:rPr>
        <w:t>，土地使用权性质：</w:t>
      </w:r>
      <w:r>
        <w:rPr>
          <w:rFonts w:hint="eastAsia" w:ascii="宋体" w:hAnsi="宋体" w:cs="宋体"/>
          <w:sz w:val="24"/>
          <w:szCs w:val="24"/>
          <w:u w:val="single"/>
          <w:lang w:val="en-US" w:eastAsia="zh-CN"/>
        </w:rPr>
        <w:t>国有出让</w:t>
      </w:r>
      <w:r>
        <w:rPr>
          <w:rFonts w:hint="eastAsia" w:ascii="宋体" w:hAnsi="宋体" w:eastAsia="宋体" w:cs="宋体"/>
          <w:sz w:val="24"/>
          <w:szCs w:val="24"/>
        </w:rPr>
        <w:t>。</w:t>
      </w:r>
    </w:p>
    <w:p w14:paraId="535DCDA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宋体" w:hAnsi="宋体" w:eastAsia="宋体" w:cs="宋体"/>
          <w:b w:val="0"/>
          <w:bCs/>
          <w:kern w:val="2"/>
          <w:sz w:val="24"/>
          <w:szCs w:val="24"/>
          <w:lang w:val="en-US" w:eastAsia="zh-CN" w:bidi="ar-SA"/>
        </w:rPr>
      </w:pPr>
      <w:r>
        <w:rPr>
          <w:rFonts w:hint="eastAsia" w:ascii="宋体" w:hAnsi="宋体" w:eastAsia="宋体" w:cs="宋体"/>
          <w:b/>
          <w:kern w:val="2"/>
          <w:sz w:val="24"/>
          <w:szCs w:val="24"/>
          <w:lang w:val="en-US" w:eastAsia="zh-CN" w:bidi="ar-SA"/>
        </w:rPr>
        <w:t>第二条</w:t>
      </w:r>
      <w:r>
        <w:rPr>
          <w:rFonts w:hint="eastAsia" w:ascii="宋体" w:hAnsi="宋体" w:eastAsia="宋体" w:cs="宋体"/>
          <w:b w:val="0"/>
          <w:bCs/>
          <w:kern w:val="2"/>
          <w:sz w:val="24"/>
          <w:szCs w:val="24"/>
          <w:lang w:val="en-US" w:eastAsia="zh-CN" w:bidi="ar-SA"/>
        </w:rPr>
        <w:t xml:space="preserve"> </w:t>
      </w:r>
      <w:r>
        <w:rPr>
          <w:rFonts w:hint="eastAsia" w:ascii="宋体" w:hAnsi="宋体" w:cs="宋体"/>
          <w:b/>
          <w:sz w:val="24"/>
          <w:szCs w:val="24"/>
          <w:lang w:val="en-US" w:eastAsia="zh-CN"/>
        </w:rPr>
        <w:t>标的现状</w:t>
      </w:r>
    </w:p>
    <w:p w14:paraId="6CBFF51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温州市龙湾区海城街道石坦村E-28-1地块三产安置房建筑项目目前已办理《海城街道E-28-1地块三产安置房建筑项目设计方案》《建设项目规划条件[2018]规划条件07038号》《建设工程规划许可证》建字第330371202300003号</w:t>
      </w:r>
      <w:r>
        <w:rPr>
          <w:rFonts w:hint="eastAsia" w:ascii="宋体" w:hAnsi="宋体" w:cs="宋体"/>
          <w:b w:val="0"/>
          <w:bCs/>
          <w:kern w:val="2"/>
          <w:sz w:val="24"/>
          <w:szCs w:val="24"/>
          <w:lang w:val="en-US" w:eastAsia="zh-CN" w:bidi="ar-SA"/>
        </w:rPr>
        <w:t>及</w:t>
      </w:r>
      <w:r>
        <w:rPr>
          <w:rFonts w:hint="eastAsia" w:ascii="宋体" w:hAnsi="宋体" w:eastAsia="宋体" w:cs="宋体"/>
          <w:b w:val="0"/>
          <w:bCs/>
          <w:kern w:val="2"/>
          <w:sz w:val="24"/>
          <w:szCs w:val="24"/>
          <w:lang w:val="en-US" w:eastAsia="zh-CN" w:bidi="ar-SA"/>
        </w:rPr>
        <w:t>《浙江省企业投资项目备案(赋码)信息表》等相关审批文件。以移交时的实物现状为准，受让方参与竞价即视为对</w:t>
      </w:r>
      <w:r>
        <w:rPr>
          <w:rFonts w:hint="eastAsia" w:ascii="宋体" w:hAnsi="宋体" w:cs="宋体"/>
          <w:b w:val="0"/>
          <w:bCs/>
          <w:kern w:val="2"/>
          <w:sz w:val="24"/>
          <w:szCs w:val="24"/>
          <w:lang w:val="en-US" w:eastAsia="zh-CN" w:bidi="ar-SA"/>
        </w:rPr>
        <w:t>标的</w:t>
      </w:r>
      <w:r>
        <w:rPr>
          <w:rFonts w:hint="eastAsia" w:ascii="宋体" w:hAnsi="宋体" w:eastAsia="宋体" w:cs="宋体"/>
          <w:b w:val="0"/>
          <w:bCs/>
          <w:kern w:val="2"/>
          <w:sz w:val="24"/>
          <w:szCs w:val="24"/>
          <w:lang w:val="en-US" w:eastAsia="zh-CN" w:bidi="ar-SA"/>
        </w:rPr>
        <w:t>现状的认可。</w:t>
      </w:r>
    </w:p>
    <w:p w14:paraId="0E29286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val="0"/>
          <w:bCs/>
          <w:kern w:val="2"/>
          <w:sz w:val="24"/>
          <w:szCs w:val="24"/>
          <w:lang w:val="en-US" w:eastAsia="zh-CN" w:bidi="ar-SA"/>
        </w:rPr>
      </w:pPr>
      <w:r>
        <w:rPr>
          <w:rFonts w:hint="eastAsia" w:ascii="宋体" w:hAnsi="宋体" w:cs="宋体"/>
          <w:b/>
          <w:sz w:val="24"/>
          <w:szCs w:val="24"/>
          <w:lang w:val="en-US" w:eastAsia="zh-CN"/>
        </w:rPr>
        <w:t>第三条  交易款项</w:t>
      </w:r>
    </w:p>
    <w:p w14:paraId="2399156F">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受让方于竞价成交之日起7天内向温州市龙湾区农村产权服务中心</w:t>
      </w:r>
      <w:r>
        <w:rPr>
          <w:rFonts w:hint="eastAsia" w:ascii="宋体" w:hAnsi="宋体" w:cs="宋体"/>
          <w:sz w:val="24"/>
          <w:szCs w:val="24"/>
          <w:highlight w:val="none"/>
          <w:lang w:val="en-US" w:eastAsia="zh-CN"/>
        </w:rPr>
        <w:t>（账户名称：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）一次性</w:t>
      </w:r>
      <w:r>
        <w:rPr>
          <w:rFonts w:hint="eastAsia" w:ascii="宋体" w:hAnsi="宋体" w:eastAsia="宋体" w:cs="宋体"/>
          <w:sz w:val="24"/>
          <w:szCs w:val="24"/>
        </w:rPr>
        <w:t>支付成交应缴</w:t>
      </w:r>
      <w:r>
        <w:rPr>
          <w:rFonts w:hint="eastAsia" w:ascii="宋体" w:hAnsi="宋体" w:cs="宋体"/>
          <w:sz w:val="24"/>
          <w:szCs w:val="24"/>
          <w:lang w:val="en-US" w:eastAsia="zh-CN"/>
        </w:rPr>
        <w:t>款项</w:t>
      </w:r>
      <w:r>
        <w:rPr>
          <w:rFonts w:hint="eastAsia" w:ascii="宋体" w:hAnsi="宋体" w:eastAsia="宋体" w:cs="宋体"/>
          <w:sz w:val="24"/>
          <w:szCs w:val="24"/>
        </w:rPr>
        <w:t>，即人民币：</w:t>
      </w:r>
      <w:r>
        <w:rPr>
          <w:rFonts w:hint="eastAsia" w:ascii="宋体" w:hAnsi="宋体" w:eastAsia="宋体" w:cs="宋体"/>
          <w:sz w:val="24"/>
          <w:szCs w:val="24"/>
          <w:u w:val="single"/>
        </w:rPr>
        <w:t xml:space="preserve">             </w:t>
      </w:r>
      <w:r>
        <w:rPr>
          <w:rFonts w:hint="eastAsia" w:ascii="宋体" w:hAnsi="宋体" w:eastAsia="宋体" w:cs="宋体"/>
          <w:sz w:val="24"/>
          <w:szCs w:val="24"/>
        </w:rPr>
        <w:t>元整（小写：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r>
        <w:rPr>
          <w:rFonts w:hint="eastAsia" w:ascii="宋体" w:hAnsi="宋体" w:cs="宋体"/>
          <w:sz w:val="24"/>
          <w:szCs w:val="24"/>
          <w:lang w:eastAsia="zh-CN"/>
        </w:rPr>
        <w:t>，</w:t>
      </w:r>
      <w:r>
        <w:rPr>
          <w:rFonts w:hint="eastAsia" w:ascii="宋体" w:hAnsi="宋体" w:cs="宋体"/>
          <w:sz w:val="24"/>
          <w:szCs w:val="24"/>
          <w:highlight w:val="none"/>
          <w:lang w:val="en-US" w:eastAsia="zh-CN"/>
        </w:rPr>
        <w:t>并在汇款时备注</w:t>
      </w:r>
      <w:r>
        <w:rPr>
          <w:rFonts w:hint="eastAsia" w:ascii="宋体" w:hAnsi="宋体" w:cs="宋体"/>
          <w:b/>
          <w:bCs/>
          <w:sz w:val="24"/>
          <w:szCs w:val="24"/>
          <w:highlight w:val="none"/>
          <w:u w:val="single"/>
          <w:lang w:val="en-US" w:eastAsia="zh-CN"/>
        </w:rPr>
        <w:t>石坦村指标认购权项目</w:t>
      </w:r>
      <w:r>
        <w:rPr>
          <w:rFonts w:hint="eastAsia" w:ascii="宋体" w:hAnsi="宋体" w:cs="宋体"/>
          <w:sz w:val="24"/>
          <w:szCs w:val="24"/>
          <w:lang w:eastAsia="zh-CN"/>
        </w:rPr>
        <w:t>。</w:t>
      </w:r>
    </w:p>
    <w:p w14:paraId="77F91D19">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eastAsia="宋体" w:cs="宋体"/>
          <w:b/>
          <w:sz w:val="24"/>
          <w:szCs w:val="24"/>
          <w:lang w:eastAsia="zh-CN"/>
        </w:rPr>
        <w:t>转让物</w:t>
      </w:r>
      <w:r>
        <w:rPr>
          <w:rFonts w:hint="eastAsia" w:ascii="宋体" w:hAnsi="宋体" w:eastAsia="宋体" w:cs="宋体"/>
          <w:b/>
          <w:sz w:val="24"/>
          <w:szCs w:val="24"/>
        </w:rPr>
        <w:t>交付使用与返还</w:t>
      </w:r>
    </w:p>
    <w:p w14:paraId="6BBFCC8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转让物由甲方按移交时的现场现状交付给乙方使用，</w:t>
      </w:r>
      <w:r>
        <w:rPr>
          <w:rFonts w:hint="eastAsia" w:ascii="宋体" w:hAnsi="宋体" w:eastAsia="宋体" w:cs="宋体"/>
          <w:sz w:val="24"/>
          <w:szCs w:val="24"/>
          <w:lang w:val="en-US" w:eastAsia="zh-CN"/>
        </w:rPr>
        <w:t>乙方不得在转让场地内搭建任何违章建筑物。</w:t>
      </w:r>
      <w:r>
        <w:rPr>
          <w:rFonts w:hint="eastAsia" w:ascii="宋体" w:hAnsi="宋体" w:cs="宋体"/>
          <w:sz w:val="24"/>
          <w:szCs w:val="24"/>
          <w:lang w:val="en-US" w:eastAsia="zh-CN"/>
        </w:rPr>
        <w:t>后期</w:t>
      </w:r>
      <w:r>
        <w:rPr>
          <w:rFonts w:hint="eastAsia" w:ascii="宋体" w:hAnsi="宋体" w:eastAsia="宋体" w:cs="宋体"/>
          <w:sz w:val="24"/>
          <w:szCs w:val="24"/>
          <w:lang w:val="en-US" w:eastAsia="zh-CN"/>
        </w:rPr>
        <w:t>安置房号、商业用房及车位具体摸文分配方案由甲乙双方自行协商确定</w:t>
      </w:r>
      <w:r>
        <w:rPr>
          <w:rFonts w:hint="eastAsia" w:ascii="宋体" w:hAnsi="宋体" w:cs="宋体"/>
          <w:sz w:val="24"/>
          <w:szCs w:val="24"/>
          <w:lang w:val="en-US" w:eastAsia="zh-CN"/>
        </w:rPr>
        <w:t>。</w:t>
      </w:r>
    </w:p>
    <w:p w14:paraId="7D1944E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5731EC5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w:t>
      </w:r>
      <w:r>
        <w:rPr>
          <w:rFonts w:hint="eastAsia" w:ascii="宋体" w:hAnsi="宋体" w:cs="宋体"/>
          <w:sz w:val="24"/>
          <w:szCs w:val="24"/>
          <w:lang w:val="en-US" w:eastAsia="zh-CN"/>
        </w:rPr>
        <w:t>标的转让</w:t>
      </w:r>
      <w:r>
        <w:rPr>
          <w:rFonts w:hint="eastAsia" w:ascii="宋体" w:hAnsi="宋体" w:eastAsia="宋体" w:cs="宋体"/>
          <w:sz w:val="24"/>
          <w:szCs w:val="24"/>
          <w:lang w:eastAsia="zh-CN"/>
        </w:rPr>
        <w:t>的资产范围内外，做好绿化维护及卫生保洁并做好“门前卫生三包”工作。</w:t>
      </w:r>
    </w:p>
    <w:p w14:paraId="3757D6A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eastAsia="宋体"/>
          <w:sz w:val="24"/>
          <w:szCs w:val="24"/>
          <w:lang w:eastAsia="zh-CN"/>
        </w:rPr>
        <w:t>转让</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转让</w:t>
      </w:r>
      <w:r>
        <w:rPr>
          <w:rFonts w:hint="eastAsia" w:ascii="宋体" w:hAnsi="宋体"/>
          <w:sz w:val="24"/>
          <w:szCs w:val="24"/>
        </w:rPr>
        <w:t>使用期间的日常维修、维护、保养费用，</w:t>
      </w:r>
      <w:r>
        <w:rPr>
          <w:rFonts w:hint="eastAsia" w:ascii="宋体" w:hAnsi="宋体"/>
          <w:sz w:val="24"/>
          <w:szCs w:val="24"/>
          <w:lang w:eastAsia="zh-CN"/>
        </w:rPr>
        <w:t>转让</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5655452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转让</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3771979B">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转让物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E52F166">
      <w:pPr>
        <w:keepNext w:val="0"/>
        <w:keepLines w:val="0"/>
        <w:pageBreakBefore w:val="0"/>
        <w:widowControl w:val="0"/>
        <w:kinsoku/>
        <w:wordWrap/>
        <w:overflowPunct/>
        <w:topLinePunct w:val="0"/>
        <w:autoSpaceDE/>
        <w:autoSpaceDN/>
        <w:bidi w:val="0"/>
        <w:adjustRightInd/>
        <w:snapToGrid/>
        <w:spacing w:line="440" w:lineRule="exact"/>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699135</wp:posOffset>
            </wp:positionH>
            <wp:positionV relativeFrom="paragraph">
              <wp:posOffset>22860</wp:posOffset>
            </wp:positionV>
            <wp:extent cx="5271770" cy="5833110"/>
            <wp:effectExtent l="0" t="0" r="5080" b="15240"/>
            <wp:wrapNone/>
            <wp:docPr id="28"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4939A62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第五条 双方权利义务 </w:t>
      </w:r>
    </w:p>
    <w:p w14:paraId="3D103B5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（一）转让方承诺对该项目权属及证件合法、真实、有效且对此负全责；协助受让方办理房屋产权过户手续并按时交付该项目。 </w:t>
      </w:r>
    </w:p>
    <w:p w14:paraId="0DDBBB9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（二）转让方保证已如实陈述该项目权属状况，该项目附属设施设备按现状随同该项目一并转让给受让方，受让方对该项目具体状况充分了解，自愿</w:t>
      </w:r>
      <w:r>
        <w:rPr>
          <w:rFonts w:hint="eastAsia" w:ascii="宋体" w:hAnsi="宋体" w:cs="宋体"/>
          <w:b w:val="0"/>
          <w:bCs/>
          <w:sz w:val="24"/>
          <w:szCs w:val="24"/>
          <w:lang w:val="en-US" w:eastAsia="zh-CN"/>
        </w:rPr>
        <w:t>受让</w:t>
      </w:r>
      <w:r>
        <w:rPr>
          <w:rFonts w:hint="eastAsia" w:ascii="宋体" w:hAnsi="宋体" w:eastAsia="宋体" w:cs="宋体"/>
          <w:b w:val="0"/>
          <w:bCs/>
          <w:sz w:val="24"/>
          <w:szCs w:val="24"/>
        </w:rPr>
        <w:t>该项目。</w:t>
      </w:r>
    </w:p>
    <w:p w14:paraId="457C514E">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三</w:t>
      </w:r>
      <w:r>
        <w:rPr>
          <w:rFonts w:hint="eastAsia" w:ascii="宋体" w:hAnsi="宋体" w:eastAsia="宋体" w:cs="宋体"/>
          <w:b w:val="0"/>
          <w:bCs/>
          <w:sz w:val="24"/>
          <w:szCs w:val="24"/>
        </w:rPr>
        <w:t>）转让方无条件配合受让方办理转让手续。若该条件下无法转让，待不动产权登记证书办到转让方名下后，再行办理，转让方在产权登记和转让过程中产生的交易双方应缴纳的一切税、费（包括交易双方的企业所得税）均由受让方承担。</w:t>
      </w:r>
    </w:p>
    <w:p w14:paraId="7D0E523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cs="宋体"/>
          <w:b w:val="0"/>
          <w:bCs/>
          <w:sz w:val="24"/>
          <w:szCs w:val="24"/>
          <w:lang w:val="en-US" w:eastAsia="zh-CN"/>
        </w:rPr>
        <w:t>四</w:t>
      </w:r>
      <w:r>
        <w:rPr>
          <w:rFonts w:hint="eastAsia" w:ascii="宋体" w:hAnsi="宋体" w:eastAsia="宋体" w:cs="宋体"/>
          <w:b w:val="0"/>
          <w:bCs/>
          <w:sz w:val="24"/>
          <w:szCs w:val="24"/>
        </w:rPr>
        <w:t>）竞价成功后，该项目未转让之前受让方根据相关文件及法律法规规定进行审批、工程建设（包括但不限于规划、施工管理、监理、质监、安全等一切手续及证件办理、工程设计、图纸会审等相关工程建设手续，制定设备材料选购计划，编制工程预决算报告、组织施工验收及办理备案手续，办理不动产权证等）</w:t>
      </w:r>
      <w:r>
        <w:rPr>
          <w:rFonts w:hint="eastAsia" w:ascii="宋体" w:hAnsi="宋体" w:cs="宋体"/>
          <w:b w:val="0"/>
          <w:bCs/>
          <w:sz w:val="24"/>
          <w:szCs w:val="24"/>
          <w:lang w:eastAsia="zh-CN"/>
        </w:rPr>
        <w:t>，</w:t>
      </w:r>
      <w:r>
        <w:rPr>
          <w:rFonts w:hint="eastAsia" w:ascii="宋体" w:hAnsi="宋体" w:eastAsia="宋体" w:cs="宋体"/>
          <w:b w:val="0"/>
          <w:bCs/>
          <w:sz w:val="24"/>
          <w:szCs w:val="24"/>
        </w:rPr>
        <w:t>安置房建筑项目需由委托人温州市龙湾区海城街道石坦村股份经济合作社负责公开招标具有相关资质的建筑施工单位开工建造。安置房造价、车位造价(地下室)由</w:t>
      </w:r>
      <w:r>
        <w:rPr>
          <w:rFonts w:hint="eastAsia" w:ascii="宋体" w:hAnsi="宋体" w:cs="宋体"/>
          <w:b w:val="0"/>
          <w:bCs/>
          <w:sz w:val="24"/>
          <w:szCs w:val="24"/>
          <w:lang w:val="en-US" w:eastAsia="zh-CN"/>
        </w:rPr>
        <w:t>竞得</w:t>
      </w:r>
      <w:r>
        <w:rPr>
          <w:rFonts w:hint="eastAsia" w:ascii="宋体" w:hAnsi="宋体" w:eastAsia="宋体" w:cs="宋体"/>
          <w:b w:val="0"/>
          <w:bCs/>
          <w:sz w:val="24"/>
          <w:szCs w:val="24"/>
        </w:rPr>
        <w:t>人另行缴纳并承担。安置房造价、地下室车位造价以村民代表大会决议及村两委确定为准；具体缴款时间、方式、账号以委托人通知为准。</w:t>
      </w:r>
    </w:p>
    <w:p w14:paraId="5E68C93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六</w:t>
      </w:r>
      <w:r>
        <w:rPr>
          <w:rFonts w:hint="eastAsia" w:ascii="宋体" w:hAnsi="宋体" w:eastAsia="宋体" w:cs="宋体"/>
          <w:b/>
          <w:sz w:val="24"/>
          <w:szCs w:val="24"/>
        </w:rPr>
        <w:t>条  其他约定</w:t>
      </w:r>
    </w:p>
    <w:p w14:paraId="7A2B2BB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转让物</w:t>
      </w:r>
      <w:r>
        <w:rPr>
          <w:rFonts w:hint="eastAsia" w:ascii="宋体" w:hAnsi="宋体" w:eastAsia="宋体" w:cs="宋体"/>
          <w:kern w:val="0"/>
          <w:sz w:val="24"/>
          <w:szCs w:val="24"/>
        </w:rPr>
        <w:t>交付乙方后，因乙方原因发生的一切关于安全、环保、消防等相关责任，由乙方自行承担。</w:t>
      </w:r>
    </w:p>
    <w:p w14:paraId="2E6B923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7511F9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44200145">
      <w:pPr>
        <w:keepNext w:val="0"/>
        <w:keepLines w:val="0"/>
        <w:pageBreakBefore w:val="0"/>
        <w:kinsoku/>
        <w:wordWrap/>
        <w:overflowPunct/>
        <w:topLinePunct w:val="0"/>
        <w:bidi w:val="0"/>
        <w:snapToGrid/>
        <w:spacing w:line="420" w:lineRule="exact"/>
        <w:ind w:firstLine="442" w:firstLineChars="100"/>
        <w:textAlignment w:val="auto"/>
        <w:rPr>
          <w:rFonts w:hint="eastAsia" w:ascii="宋体" w:hAnsi="宋体" w:eastAsia="宋体" w:cs="宋体"/>
          <w:b/>
          <w:bCs/>
          <w:kern w:val="0"/>
          <w:sz w:val="24"/>
          <w:szCs w:val="24"/>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297180</wp:posOffset>
            </wp:positionH>
            <wp:positionV relativeFrom="paragraph">
              <wp:posOffset>146050</wp:posOffset>
            </wp:positionV>
            <wp:extent cx="5271770" cy="5833110"/>
            <wp:effectExtent l="0" t="0" r="5080" b="15240"/>
            <wp:wrapNone/>
            <wp:docPr id="31" name="图片 9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sz w:val="24"/>
          <w:szCs w:val="24"/>
        </w:rPr>
        <w:t>第</w:t>
      </w:r>
      <w:r>
        <w:rPr>
          <w:rFonts w:hint="eastAsia" w:ascii="宋体" w:hAnsi="宋体" w:cs="宋体"/>
          <w:b/>
          <w:sz w:val="24"/>
          <w:szCs w:val="24"/>
          <w:lang w:val="en-US"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2783065">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F27266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1EE77974">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17E4DE46">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2D72EA6A">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399415</wp:posOffset>
                </wp:positionH>
                <wp:positionV relativeFrom="paragraph">
                  <wp:posOffset>232410</wp:posOffset>
                </wp:positionV>
                <wp:extent cx="5973445" cy="1071245"/>
                <wp:effectExtent l="4445" t="4445" r="22860" b="10160"/>
                <wp:wrapNone/>
                <wp:docPr id="17"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538D320F">
                            <w:pPr>
                              <w:rPr>
                                <w:rFonts w:hint="eastAsia" w:ascii="宋体" w:hAnsi="宋体"/>
                                <w:b/>
                                <w:color w:val="000000"/>
                                <w:sz w:val="24"/>
                                <w:lang w:eastAsia="zh-CN"/>
                              </w:rPr>
                            </w:pPr>
                            <w:r>
                              <w:rPr>
                                <w:rFonts w:hint="eastAsia" w:ascii="宋体" w:hAnsi="宋体"/>
                                <w:b/>
                                <w:color w:val="000000"/>
                                <w:sz w:val="24"/>
                                <w:lang w:eastAsia="zh-CN"/>
                              </w:rPr>
                              <w:t>本方已仔细阅读以上《指标认购权转让合同》（样本），对所列条款内容已完全知悉，词语含义也已清晰理解，并同意遵照执行。</w:t>
                            </w:r>
                          </w:p>
                          <w:p w14:paraId="3A16E0A7">
                            <w:pPr>
                              <w:pStyle w:val="9"/>
                              <w:rPr>
                                <w:rFonts w:hint="eastAsia"/>
                                <w:lang w:eastAsia="zh-CN"/>
                              </w:rPr>
                            </w:pPr>
                          </w:p>
                          <w:p w14:paraId="2A9C4799">
                            <w:pPr>
                              <w:rPr>
                                <w:rFonts w:hint="eastAsia" w:ascii="宋体" w:hAnsi="宋体"/>
                                <w:b/>
                                <w:color w:val="000000"/>
                                <w:sz w:val="24"/>
                                <w:lang w:eastAsia="zh-CN"/>
                              </w:rPr>
                            </w:pPr>
                            <w:r>
                              <w:rPr>
                                <w:rFonts w:hint="eastAsia" w:ascii="宋体" w:hAnsi="宋体"/>
                                <w:b/>
                                <w:color w:val="000000"/>
                                <w:sz w:val="24"/>
                                <w:lang w:val="en-US" w:eastAsia="zh-CN"/>
                              </w:rPr>
                              <w:t>竞价</w:t>
                            </w:r>
                            <w:r>
                              <w:rPr>
                                <w:rFonts w:hint="eastAsia" w:ascii="宋体" w:hAnsi="宋体"/>
                                <w:b/>
                                <w:color w:val="000000"/>
                                <w:sz w:val="24"/>
                                <w:lang w:eastAsia="zh-CN"/>
                              </w:rPr>
                              <w:t>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12" o:spid="_x0000_s1026" o:spt="202" type="#_x0000_t202" style="position:absolute;left:0pt;margin-left:31.45pt;margin-top:18.3pt;height:84.35pt;width:470.35pt;z-index:251671552;mso-width-relative:page;mso-height-relative:page;" filled="f" stroked="t" coordsize="21600,21600" o:gfxdata="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dEo01wAAAAoBAAAPAAAA&#10;AAAAAAEAIAAAACIAAABkcnMvZG93bnJldi54bWxQSwECFAAUAAAACACHTuJApEhCWRYCAAAsBAAA&#10;DgAAAAAAAAABACAAAAAmAQAAZHJzL2Uyb0RvYy54bWxQSwUGAAAAAAYABgBZAQAArgUAAAAA&#10;">
                <v:fill on="f" focussize="0,0"/>
                <v:stroke color="#000000" joinstyle="miter"/>
                <v:imagedata o:title=""/>
                <o:lock v:ext="edit" aspectratio="f"/>
                <v:textbox>
                  <w:txbxContent>
                    <w:p w14:paraId="538D320F">
                      <w:pPr>
                        <w:rPr>
                          <w:rFonts w:hint="eastAsia" w:ascii="宋体" w:hAnsi="宋体"/>
                          <w:b/>
                          <w:color w:val="000000"/>
                          <w:sz w:val="24"/>
                          <w:lang w:eastAsia="zh-CN"/>
                        </w:rPr>
                      </w:pPr>
                      <w:r>
                        <w:rPr>
                          <w:rFonts w:hint="eastAsia" w:ascii="宋体" w:hAnsi="宋体"/>
                          <w:b/>
                          <w:color w:val="000000"/>
                          <w:sz w:val="24"/>
                          <w:lang w:eastAsia="zh-CN"/>
                        </w:rPr>
                        <w:t>本方已仔细阅读以上《指标认购权转让合同》（样本），对所列条款内容已完全知悉，词语含义也已清晰理解，并同意遵照执行。</w:t>
                      </w:r>
                    </w:p>
                    <w:p w14:paraId="3A16E0A7">
                      <w:pPr>
                        <w:pStyle w:val="9"/>
                        <w:rPr>
                          <w:rFonts w:hint="eastAsia"/>
                          <w:lang w:eastAsia="zh-CN"/>
                        </w:rPr>
                      </w:pPr>
                    </w:p>
                    <w:p w14:paraId="2A9C4799">
                      <w:pPr>
                        <w:rPr>
                          <w:rFonts w:hint="eastAsia" w:ascii="宋体" w:hAnsi="宋体"/>
                          <w:b/>
                          <w:color w:val="000000"/>
                          <w:sz w:val="24"/>
                          <w:lang w:eastAsia="zh-CN"/>
                        </w:rPr>
                      </w:pPr>
                      <w:r>
                        <w:rPr>
                          <w:rFonts w:hint="eastAsia" w:ascii="宋体" w:hAnsi="宋体"/>
                          <w:b/>
                          <w:color w:val="000000"/>
                          <w:sz w:val="24"/>
                          <w:lang w:val="en-US" w:eastAsia="zh-CN"/>
                        </w:rPr>
                        <w:t>竞价</w:t>
                      </w:r>
                      <w:r>
                        <w:rPr>
                          <w:rFonts w:hint="eastAsia" w:ascii="宋体" w:hAnsi="宋体"/>
                          <w:b/>
                          <w:color w:val="000000"/>
                          <w:sz w:val="24"/>
                          <w:lang w:eastAsia="zh-CN"/>
                        </w:rPr>
                        <w:t>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25BEE96">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b/>
          <w:bCs/>
          <w:sz w:val="24"/>
        </w:rPr>
      </w:pPr>
    </w:p>
    <w:sectPr>
      <w:pgSz w:w="11906" w:h="16838"/>
      <w:pgMar w:top="850" w:right="1304" w:bottom="850" w:left="130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FD94">
    <w:pPr>
      <w:pStyle w:val="6"/>
      <w:framePr w:wrap="around" w:vAnchor="text" w:hAnchor="margin" w:xAlign="center" w:y="1"/>
      <w:rPr>
        <w:rStyle w:val="14"/>
        <w:rFonts w:hint="eastAsia"/>
      </w:rPr>
    </w:pPr>
  </w:p>
  <w:p w14:paraId="001BFE7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30B8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5F3F6A09">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85B5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39DC">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15CEEE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DZfzp/&#10;6QEAAMoDAAAOAAAAAAAAAAEAIAAAACIBAABkcnMvZTJvRG9jLnhtbFBLBQYAAAAABgAGAFkBAAB9&#10;BQAAAAA=&#10;">
              <v:fill on="f" focussize="0,0"/>
              <v:stroke on="f" weight="1.25pt"/>
              <v:imagedata o:title=""/>
              <o:lock v:ext="edit" aspectratio="f"/>
              <v:textbox inset="0mm,0mm,0mm,0mm" style="mso-fit-shape-to-text:t;">
                <w:txbxContent>
                  <w:p w14:paraId="615CEEE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5CBA4DE3">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C67E5">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EBCBCF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gOlT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oUlBimceKn379O&#10;f/6d/v4ky7d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gYDpU&#10;6QEAAMoDAAAOAAAAAAAAAAEAIAAAACIBAABkcnMvZTJvRG9jLnhtbFBLBQYAAAAABgAGAFkBAAB9&#10;BQAAAAA=&#10;">
              <v:fill on="f" focussize="0,0"/>
              <v:stroke on="f" weight="1.25pt"/>
              <v:imagedata o:title=""/>
              <o:lock v:ext="edit" aspectratio="f"/>
              <v:textbox inset="0mm,0mm,0mm,0mm" style="mso-fit-shape-to-text:t;">
                <w:txbxContent>
                  <w:p w14:paraId="6EBCBCF1">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BE80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B5E9FF9">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2643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011CA8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91F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A7C45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4D90B5D"/>
    <w:rsid w:val="052A53FB"/>
    <w:rsid w:val="054D2915"/>
    <w:rsid w:val="05A131E3"/>
    <w:rsid w:val="05E15C61"/>
    <w:rsid w:val="061816F7"/>
    <w:rsid w:val="063D6CE4"/>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1F5EB6"/>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54749"/>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516219"/>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7075D8"/>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166376"/>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A0ED9"/>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3A1B38"/>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B07B8F"/>
    <w:rsid w:val="52DF7314"/>
    <w:rsid w:val="52E91B66"/>
    <w:rsid w:val="52F42171"/>
    <w:rsid w:val="530B23A8"/>
    <w:rsid w:val="5339399D"/>
    <w:rsid w:val="53446C55"/>
    <w:rsid w:val="534554F2"/>
    <w:rsid w:val="53456529"/>
    <w:rsid w:val="538E2218"/>
    <w:rsid w:val="539827DD"/>
    <w:rsid w:val="539A4AC7"/>
    <w:rsid w:val="539D45B7"/>
    <w:rsid w:val="53AE40CE"/>
    <w:rsid w:val="53D524FA"/>
    <w:rsid w:val="53EA0ADD"/>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D82630"/>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97587C"/>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9A140A"/>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A14857"/>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714308"/>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9719</Words>
  <Characters>10136</Characters>
  <Lines>74</Lines>
  <Paragraphs>20</Paragraphs>
  <TotalTime>10</TotalTime>
  <ScaleCrop>false</ScaleCrop>
  <LinksUpToDate>false</LinksUpToDate>
  <CharactersWithSpaces>11151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2025-06-06T02:21:00Z</cp:lastPrinted>
  <dcterms:modified xsi:type="dcterms:W3CDTF">2025-06-25T06:35:50Z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E639663AFD754625855C08650808C651_13</vt:lpwstr>
  </property>
  <property fmtid="{D5CDD505-2E9C-101B-9397-08002B2CF9AE}" pid="4" name="KSOTemplateDocerSaveRecord">
    <vt:lpwstr>eyJoZGlkIjoiNzYzNDZhZmRmZjM0NWUxNmJiOWFiNDI5YTEzYzUxNmEiLCJ1c2VySWQiOiIxNTk0MDAzNDA5In0=</vt:lpwstr>
  </property>
</Properties>
</file>