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温州市龙湾区永中街道永中西路万华锦园3、4幢112室、10幢104室三年租赁权竞价文件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2025年7月15日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温州市龙湾区永中街道永中西路万华锦园3、4幢112室、10幢104室三年租赁权竞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7</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22</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2025年7月23日上午9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rPr>
        <w:t>温州市龙湾区永中街道永中西路万华锦园3、4幢112室</w:t>
      </w:r>
      <w:r>
        <w:rPr>
          <w:rFonts w:hint="eastAsia" w:ascii="宋体" w:hAnsi="宋体"/>
          <w:color w:val="auto"/>
          <w:sz w:val="24"/>
          <w:szCs w:val="24"/>
          <w:u w:val="none"/>
          <w:lang w:val="en-US" w:eastAsia="zh-CN"/>
        </w:rPr>
        <w:t>、10幢104室三年租赁权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0"/>
        <w:gridCol w:w="3340"/>
        <w:gridCol w:w="2096"/>
        <w:gridCol w:w="2098"/>
        <w:gridCol w:w="1146"/>
        <w:gridCol w:w="1250"/>
      </w:tblGrid>
      <w:tr w14:paraId="0D3C2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8" w:type="pct"/>
            <w:tcBorders>
              <w:left w:val="single" w:color="auto" w:sz="4" w:space="0"/>
            </w:tcBorders>
            <w:noWrap w:val="0"/>
            <w:vAlign w:val="center"/>
          </w:tcPr>
          <w:p w14:paraId="369BB5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53AA32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08B45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969" w:type="pct"/>
            <w:gridSpan w:val="2"/>
            <w:noWrap w:val="0"/>
            <w:vAlign w:val="center"/>
          </w:tcPr>
          <w:p w14:paraId="20E9D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538" w:type="pct"/>
            <w:tcBorders>
              <w:right w:val="single" w:color="auto" w:sz="4" w:space="0"/>
            </w:tcBorders>
            <w:noWrap w:val="0"/>
            <w:vAlign w:val="center"/>
          </w:tcPr>
          <w:p w14:paraId="7AE2C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4A5222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86" w:type="pct"/>
            <w:tcBorders>
              <w:right w:val="single" w:color="auto" w:sz="4" w:space="0"/>
            </w:tcBorders>
            <w:noWrap w:val="0"/>
            <w:vAlign w:val="center"/>
          </w:tcPr>
          <w:p w14:paraId="6202EF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1807B9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A596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338" w:type="pct"/>
            <w:vMerge w:val="restart"/>
            <w:tcBorders>
              <w:left w:val="single" w:color="auto" w:sz="4" w:space="0"/>
              <w:right w:val="single" w:color="auto" w:sz="4" w:space="0"/>
            </w:tcBorders>
            <w:noWrap w:val="0"/>
            <w:vAlign w:val="center"/>
          </w:tcPr>
          <w:p w14:paraId="6C4351F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vMerge w:val="restart"/>
            <w:tcBorders>
              <w:left w:val="single" w:color="auto" w:sz="4" w:space="0"/>
              <w:right w:val="single" w:color="auto" w:sz="4" w:space="0"/>
            </w:tcBorders>
            <w:noWrap w:val="0"/>
            <w:vAlign w:val="center"/>
          </w:tcPr>
          <w:p w14:paraId="14C6B6EE">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sz w:val="24"/>
                <w:szCs w:val="24"/>
                <w:highlight w:val="none"/>
                <w:lang w:val="en-US" w:eastAsia="zh-CN"/>
              </w:rPr>
              <w:t>温州市</w:t>
            </w:r>
            <w:r>
              <w:rPr>
                <w:rFonts w:hint="default" w:ascii="宋体" w:hAnsi="宋体" w:eastAsia="宋体" w:cs="宋体"/>
                <w:bCs/>
                <w:sz w:val="24"/>
                <w:szCs w:val="24"/>
                <w:highlight w:val="none"/>
                <w:lang w:val="en-US"/>
              </w:rPr>
              <w:t>龙湾区永中街道永中西路万华锦园3、4幢112室三年租赁权</w:t>
            </w:r>
          </w:p>
        </w:tc>
        <w:tc>
          <w:tcPr>
            <w:tcW w:w="984" w:type="pct"/>
            <w:tcBorders>
              <w:left w:val="single" w:color="auto" w:sz="4" w:space="0"/>
              <w:right w:val="single" w:color="auto" w:sz="4" w:space="0"/>
            </w:tcBorders>
            <w:noWrap w:val="0"/>
            <w:vAlign w:val="center"/>
          </w:tcPr>
          <w:p w14:paraId="41060F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kern w:val="2"/>
                <w:sz w:val="24"/>
                <w:szCs w:val="24"/>
                <w:lang w:val="en-US" w:eastAsia="zh-CN" w:bidi="ar-SA"/>
                <w14:textFill>
                  <w14:solidFill>
                    <w14:schemeClr w14:val="tx1"/>
                  </w14:solidFill>
                </w14:textFill>
              </w:rPr>
              <w:t>店面约65㎡</w:t>
            </w:r>
          </w:p>
        </w:tc>
        <w:tc>
          <w:tcPr>
            <w:tcW w:w="984" w:type="pct"/>
            <w:vMerge w:val="restart"/>
            <w:tcBorders>
              <w:left w:val="single" w:color="auto" w:sz="4" w:space="0"/>
              <w:right w:val="single" w:color="auto" w:sz="4" w:space="0"/>
            </w:tcBorders>
            <w:noWrap w:val="0"/>
            <w:vAlign w:val="center"/>
          </w:tcPr>
          <w:p w14:paraId="65CA70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kern w:val="2"/>
                <w:sz w:val="24"/>
                <w:szCs w:val="24"/>
                <w:lang w:val="en-US" w:eastAsia="zh-CN" w:bidi="ar-SA"/>
                <w14:textFill>
                  <w14:solidFill>
                    <w14:schemeClr w14:val="tx1"/>
                  </w14:solidFill>
                </w14:textFill>
              </w:rPr>
              <w:t>合计约</w:t>
            </w:r>
            <w:r>
              <w:rPr>
                <w:rFonts w:hint="eastAsia" w:ascii="宋体" w:hAnsi="宋体" w:cs="宋体"/>
                <w:bCs/>
                <w:color w:val="000000" w:themeColor="text1"/>
                <w:kern w:val="2"/>
                <w:sz w:val="24"/>
                <w:szCs w:val="24"/>
                <w:lang w:val="en-US" w:eastAsia="zh-CN" w:bidi="ar-SA"/>
                <w14:textFill>
                  <w14:solidFill>
                    <w14:schemeClr w14:val="tx1"/>
                  </w14:solidFill>
                </w14:textFill>
              </w:rPr>
              <w:t>144.05</w:t>
            </w:r>
            <w:r>
              <w:rPr>
                <w:rFonts w:hint="eastAsia" w:ascii="宋体" w:hAnsi="宋体" w:eastAsia="宋体" w:cs="宋体"/>
                <w:bCs/>
                <w:color w:val="000000" w:themeColor="text1"/>
                <w:kern w:val="2"/>
                <w:sz w:val="24"/>
                <w:szCs w:val="24"/>
                <w:lang w:val="en-US" w:eastAsia="zh-CN" w:bidi="ar-SA"/>
                <w14:textFill>
                  <w14:solidFill>
                    <w14:schemeClr w14:val="tx1"/>
                  </w14:solidFill>
                </w14:textFill>
              </w:rPr>
              <w:t>㎡</w:t>
            </w:r>
          </w:p>
        </w:tc>
        <w:tc>
          <w:tcPr>
            <w:tcW w:w="538" w:type="pct"/>
            <w:vMerge w:val="restart"/>
            <w:tcBorders>
              <w:left w:val="single" w:color="auto" w:sz="4" w:space="0"/>
              <w:right w:val="single" w:color="auto" w:sz="4" w:space="0"/>
            </w:tcBorders>
            <w:noWrap w:val="0"/>
            <w:vAlign w:val="center"/>
          </w:tcPr>
          <w:p w14:paraId="656514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81158</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586" w:type="pct"/>
            <w:vMerge w:val="restart"/>
            <w:tcBorders>
              <w:left w:val="single" w:color="auto" w:sz="4" w:space="0"/>
              <w:right w:val="single" w:color="auto" w:sz="4" w:space="0"/>
            </w:tcBorders>
            <w:noWrap w:val="0"/>
            <w:vAlign w:val="center"/>
          </w:tcPr>
          <w:p w14:paraId="1E4A92D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8万元</w:t>
            </w:r>
          </w:p>
        </w:tc>
      </w:tr>
      <w:tr w14:paraId="5D82C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jc w:val="center"/>
        </w:trPr>
        <w:tc>
          <w:tcPr>
            <w:tcW w:w="338" w:type="pct"/>
            <w:vMerge w:val="continue"/>
            <w:tcBorders>
              <w:left w:val="single" w:color="auto" w:sz="4" w:space="0"/>
              <w:right w:val="single" w:color="auto" w:sz="4" w:space="0"/>
            </w:tcBorders>
            <w:noWrap w:val="0"/>
            <w:vAlign w:val="center"/>
          </w:tcPr>
          <w:p w14:paraId="74544A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568" w:type="pct"/>
            <w:vMerge w:val="continue"/>
            <w:tcBorders>
              <w:left w:val="single" w:color="auto" w:sz="4" w:space="0"/>
              <w:right w:val="single" w:color="auto" w:sz="4" w:space="0"/>
            </w:tcBorders>
            <w:noWrap w:val="0"/>
            <w:vAlign w:val="center"/>
          </w:tcPr>
          <w:p w14:paraId="093E27E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984" w:type="pct"/>
            <w:tcBorders>
              <w:left w:val="single" w:color="auto" w:sz="4" w:space="0"/>
              <w:right w:val="single" w:color="auto" w:sz="4" w:space="0"/>
            </w:tcBorders>
            <w:noWrap w:val="0"/>
            <w:vAlign w:val="center"/>
          </w:tcPr>
          <w:p w14:paraId="7C5784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Theme="minorEastAsia" w:hAnsiTheme="minorEastAsia" w:eastAsiaTheme="minorEastAsia" w:cstheme="minorEastAsia"/>
                <w:sz w:val="24"/>
                <w:szCs w:val="24"/>
                <w:lang w:val="en-US" w:eastAsia="zh-CN"/>
              </w:rPr>
              <w:t>非店面</w:t>
            </w:r>
            <w:r>
              <w:rPr>
                <w:rFonts w:hint="eastAsia" w:asciiTheme="minorEastAsia" w:hAnsiTheme="minorEastAsia" w:cstheme="minorEastAsia"/>
                <w:sz w:val="24"/>
                <w:szCs w:val="24"/>
                <w:lang w:val="en-US" w:eastAsia="zh-CN"/>
              </w:rPr>
              <w:t>约</w:t>
            </w:r>
            <w:r>
              <w:rPr>
                <w:rFonts w:hint="eastAsia" w:asciiTheme="minorEastAsia" w:hAnsiTheme="minorEastAsia" w:eastAsiaTheme="minorEastAsia" w:cstheme="minorEastAsia"/>
                <w:sz w:val="24"/>
                <w:szCs w:val="24"/>
                <w:lang w:val="en-US" w:eastAsia="zh-CN"/>
              </w:rPr>
              <w:t>64.05㎡</w:t>
            </w:r>
          </w:p>
        </w:tc>
        <w:tc>
          <w:tcPr>
            <w:tcW w:w="984" w:type="pct"/>
            <w:vMerge w:val="continue"/>
            <w:tcBorders>
              <w:left w:val="single" w:color="auto" w:sz="4" w:space="0"/>
              <w:right w:val="single" w:color="auto" w:sz="4" w:space="0"/>
            </w:tcBorders>
            <w:noWrap w:val="0"/>
            <w:vAlign w:val="center"/>
          </w:tcPr>
          <w:p w14:paraId="6728F2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38" w:type="pct"/>
            <w:vMerge w:val="continue"/>
            <w:tcBorders>
              <w:left w:val="single" w:color="auto" w:sz="4" w:space="0"/>
              <w:right w:val="single" w:color="auto" w:sz="4" w:space="0"/>
            </w:tcBorders>
            <w:noWrap w:val="0"/>
            <w:vAlign w:val="center"/>
          </w:tcPr>
          <w:p w14:paraId="29F0A6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86" w:type="pct"/>
            <w:vMerge w:val="continue"/>
            <w:tcBorders>
              <w:left w:val="single" w:color="auto" w:sz="4" w:space="0"/>
              <w:right w:val="single" w:color="auto" w:sz="4" w:space="0"/>
            </w:tcBorders>
            <w:noWrap w:val="0"/>
            <w:vAlign w:val="center"/>
          </w:tcPr>
          <w:p w14:paraId="08D5DB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1512F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338" w:type="pct"/>
            <w:vMerge w:val="continue"/>
            <w:tcBorders>
              <w:left w:val="single" w:color="auto" w:sz="4" w:space="0"/>
              <w:right w:val="single" w:color="auto" w:sz="4" w:space="0"/>
            </w:tcBorders>
            <w:noWrap w:val="0"/>
            <w:vAlign w:val="center"/>
          </w:tcPr>
          <w:p w14:paraId="2676675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568" w:type="pct"/>
            <w:vMerge w:val="continue"/>
            <w:tcBorders>
              <w:left w:val="single" w:color="auto" w:sz="4" w:space="0"/>
              <w:right w:val="single" w:color="auto" w:sz="4" w:space="0"/>
            </w:tcBorders>
            <w:noWrap w:val="0"/>
            <w:vAlign w:val="center"/>
          </w:tcPr>
          <w:p w14:paraId="4209322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984" w:type="pct"/>
            <w:tcBorders>
              <w:left w:val="single" w:color="auto" w:sz="4" w:space="0"/>
              <w:right w:val="single" w:color="auto" w:sz="4" w:space="0"/>
            </w:tcBorders>
            <w:noWrap w:val="0"/>
            <w:vAlign w:val="center"/>
          </w:tcPr>
          <w:p w14:paraId="6EECAF1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Theme="minorEastAsia" w:hAnsiTheme="minorEastAsia" w:eastAsiaTheme="minorEastAsia" w:cstheme="minorEastAsia"/>
                <w:sz w:val="24"/>
                <w:szCs w:val="24"/>
                <w:lang w:val="en-US" w:eastAsia="zh-CN"/>
              </w:rPr>
              <w:t>楼梯下约15㎡</w:t>
            </w:r>
          </w:p>
        </w:tc>
        <w:tc>
          <w:tcPr>
            <w:tcW w:w="984" w:type="pct"/>
            <w:vMerge w:val="continue"/>
            <w:tcBorders>
              <w:left w:val="single" w:color="auto" w:sz="4" w:space="0"/>
              <w:right w:val="single" w:color="auto" w:sz="4" w:space="0"/>
            </w:tcBorders>
            <w:noWrap w:val="0"/>
            <w:vAlign w:val="center"/>
          </w:tcPr>
          <w:p w14:paraId="7653EB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38" w:type="pct"/>
            <w:vMerge w:val="continue"/>
            <w:tcBorders>
              <w:left w:val="single" w:color="auto" w:sz="4" w:space="0"/>
              <w:right w:val="single" w:color="auto" w:sz="4" w:space="0"/>
            </w:tcBorders>
            <w:noWrap w:val="0"/>
            <w:vAlign w:val="center"/>
          </w:tcPr>
          <w:p w14:paraId="41B5D3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86" w:type="pct"/>
            <w:vMerge w:val="continue"/>
            <w:tcBorders>
              <w:left w:val="single" w:color="auto" w:sz="4" w:space="0"/>
              <w:right w:val="single" w:color="auto" w:sz="4" w:space="0"/>
            </w:tcBorders>
            <w:noWrap w:val="0"/>
            <w:vAlign w:val="center"/>
          </w:tcPr>
          <w:p w14:paraId="4F9928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66F94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3" w:hRule="atLeast"/>
          <w:jc w:val="center"/>
        </w:trPr>
        <w:tc>
          <w:tcPr>
            <w:tcW w:w="338" w:type="pct"/>
            <w:tcBorders>
              <w:left w:val="single" w:color="auto" w:sz="4" w:space="0"/>
              <w:right w:val="single" w:color="auto" w:sz="4" w:space="0"/>
            </w:tcBorders>
            <w:noWrap w:val="0"/>
            <w:vAlign w:val="center"/>
          </w:tcPr>
          <w:p w14:paraId="0CDF1E26">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68" w:type="pct"/>
            <w:tcBorders>
              <w:left w:val="single" w:color="auto" w:sz="4" w:space="0"/>
              <w:right w:val="single" w:color="auto" w:sz="4" w:space="0"/>
            </w:tcBorders>
            <w:noWrap w:val="0"/>
            <w:vAlign w:val="center"/>
          </w:tcPr>
          <w:p w14:paraId="3FF960CC">
            <w:pPr>
              <w:pStyle w:val="3"/>
              <w:ind w:left="0" w:leftChars="0" w:firstLine="0" w:firstLineChars="0"/>
              <w:jc w:val="center"/>
              <w:rPr>
                <w:rFonts w:hint="eastAsia" w:ascii="宋体" w:hAnsi="宋体" w:eastAsia="宋体" w:cs="宋体"/>
                <w:bCs/>
                <w:sz w:val="24"/>
                <w:szCs w:val="24"/>
                <w:highlight w:val="none"/>
                <w:lang w:val="en-US" w:eastAsia="zh-CN"/>
              </w:rPr>
            </w:pPr>
            <w:r>
              <w:rPr>
                <w:rFonts w:hint="default" w:ascii="宋体" w:hAnsi="宋体" w:eastAsia="宋体" w:cs="宋体"/>
                <w:bCs/>
                <w:sz w:val="24"/>
                <w:szCs w:val="24"/>
                <w:highlight w:val="none"/>
                <w:lang w:val="en-US"/>
              </w:rPr>
              <w:t>温州市龙湾区永中街道永中西路万华锦园10幢104室三年租赁权</w:t>
            </w:r>
          </w:p>
        </w:tc>
        <w:tc>
          <w:tcPr>
            <w:tcW w:w="1969" w:type="pct"/>
            <w:gridSpan w:val="2"/>
            <w:tcBorders>
              <w:left w:val="single" w:color="auto" w:sz="4" w:space="0"/>
              <w:right w:val="single" w:color="auto" w:sz="4" w:space="0"/>
            </w:tcBorders>
            <w:noWrap w:val="0"/>
            <w:vAlign w:val="center"/>
          </w:tcPr>
          <w:p w14:paraId="0DCDC0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约115.81㎡</w:t>
            </w:r>
          </w:p>
        </w:tc>
        <w:tc>
          <w:tcPr>
            <w:tcW w:w="538" w:type="pct"/>
            <w:tcBorders>
              <w:left w:val="single" w:color="auto" w:sz="4" w:space="0"/>
              <w:right w:val="single" w:color="auto" w:sz="4" w:space="0"/>
            </w:tcBorders>
            <w:noWrap w:val="0"/>
            <w:vAlign w:val="center"/>
          </w:tcPr>
          <w:p w14:paraId="19F43C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69486元</w:t>
            </w:r>
          </w:p>
        </w:tc>
        <w:tc>
          <w:tcPr>
            <w:tcW w:w="586" w:type="pct"/>
            <w:tcBorders>
              <w:left w:val="single" w:color="auto" w:sz="4" w:space="0"/>
              <w:right w:val="single" w:color="auto" w:sz="4" w:space="0"/>
            </w:tcBorders>
            <w:noWrap w:val="0"/>
            <w:vAlign w:val="center"/>
          </w:tcPr>
          <w:p w14:paraId="74010D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7万元</w:t>
            </w:r>
          </w:p>
        </w:tc>
      </w:tr>
      <w:tr w14:paraId="739EE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3" w:hRule="atLeast"/>
          <w:jc w:val="center"/>
        </w:trPr>
        <w:tc>
          <w:tcPr>
            <w:tcW w:w="5000" w:type="pct"/>
            <w:gridSpan w:val="6"/>
            <w:tcBorders>
              <w:left w:val="single" w:color="auto" w:sz="4" w:space="0"/>
              <w:right w:val="single" w:color="auto" w:sz="4" w:space="0"/>
            </w:tcBorders>
            <w:noWrap w:val="0"/>
            <w:vAlign w:val="center"/>
          </w:tcPr>
          <w:p w14:paraId="5414B01A">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1、租期3年，租赁期内租金不变，租金(不含税）一年一付，先付后用。</w:t>
            </w:r>
          </w:p>
          <w:p w14:paraId="7DBF422B">
            <w:pPr>
              <w:pStyle w:val="3"/>
              <w:ind w:left="0" w:leftChars="0"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2、装修期</w:t>
            </w:r>
            <w:r>
              <w:rPr>
                <w:rFonts w:hint="eastAsia" w:cs="宋体"/>
                <w:bCs/>
                <w:kern w:val="2"/>
                <w:sz w:val="24"/>
                <w:szCs w:val="24"/>
                <w:highlight w:val="none"/>
                <w:lang w:val="en-US" w:eastAsia="zh-CN" w:bidi="ar"/>
              </w:rPr>
              <w:t>15</w:t>
            </w:r>
            <w:r>
              <w:rPr>
                <w:rFonts w:hint="eastAsia" w:ascii="宋体" w:hAnsi="宋体" w:cs="宋体"/>
                <w:bCs/>
                <w:kern w:val="2"/>
                <w:sz w:val="24"/>
                <w:szCs w:val="24"/>
                <w:highlight w:val="none"/>
                <w:lang w:val="en-US" w:eastAsia="zh-CN" w:bidi="ar"/>
              </w:rPr>
              <w:t>日，不计租期及租金</w:t>
            </w:r>
            <w:r>
              <w:rPr>
                <w:rFonts w:hint="eastAsia"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寺西村租赁项目（标的编号）</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租赁履约保证金为年租金成交价的20%（取整数）/标的。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7</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21</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42" w:firstLineChars="100"/>
        <w:jc w:val="left"/>
        <w:textAlignment w:val="auto"/>
        <w:rPr>
          <w:rFonts w:ascii="宋体" w:hAnsi="宋体" w:cs="宋体"/>
          <w:b w:val="0"/>
          <w:bCs w:val="0"/>
          <w:color w:val="auto"/>
          <w:kern w:val="0"/>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558800</wp:posOffset>
            </wp:positionH>
            <wp:positionV relativeFrom="paragraph">
              <wp:posOffset>16510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温州市龙湾区永中街道寺西村股份经济合作社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2025年7月15日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2025年7月15日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7</w:t>
      </w:r>
      <w:r>
        <w:rPr>
          <w:rFonts w:hint="eastAsia"/>
          <w:color w:val="auto"/>
          <w:sz w:val="24"/>
          <w:highlight w:val="none"/>
          <w:u w:val="single"/>
          <w:lang w:eastAsia="zh-CN"/>
        </w:rPr>
        <w:t>月</w:t>
      </w:r>
      <w:r>
        <w:rPr>
          <w:rFonts w:hint="eastAsia"/>
          <w:color w:val="auto"/>
          <w:sz w:val="24"/>
          <w:highlight w:val="none"/>
          <w:u w:val="single"/>
          <w:lang w:val="en-US" w:eastAsia="zh-CN"/>
        </w:rPr>
        <w:t>22</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eastAsia"/>
          <w:b w:val="0"/>
          <w:bCs w:val="0"/>
          <w:color w:val="auto"/>
          <w:sz w:val="24"/>
          <w:highlight w:val="none"/>
          <w:lang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永中街道寺西</w:t>
      </w:r>
      <w:r>
        <w:rPr>
          <w:rFonts w:hint="eastAsia"/>
          <w:b w:val="0"/>
          <w:bCs w:val="0"/>
          <w:color w:val="auto"/>
          <w:sz w:val="24"/>
          <w:highlight w:val="none"/>
          <w:lang w:val="en-US" w:eastAsia="zh-CN"/>
        </w:rPr>
        <w:t>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0"/>
        <w:gridCol w:w="3340"/>
        <w:gridCol w:w="2096"/>
        <w:gridCol w:w="2098"/>
        <w:gridCol w:w="1146"/>
        <w:gridCol w:w="1250"/>
      </w:tblGrid>
      <w:tr w14:paraId="11449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8" w:type="pct"/>
            <w:tcBorders>
              <w:left w:val="single" w:color="auto" w:sz="4" w:space="0"/>
            </w:tcBorders>
            <w:noWrap w:val="0"/>
            <w:vAlign w:val="center"/>
          </w:tcPr>
          <w:p w14:paraId="252717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2031A1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3C5028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969" w:type="pct"/>
            <w:gridSpan w:val="2"/>
            <w:noWrap w:val="0"/>
            <w:vAlign w:val="center"/>
          </w:tcPr>
          <w:p w14:paraId="3A686E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538" w:type="pct"/>
            <w:tcBorders>
              <w:right w:val="single" w:color="auto" w:sz="4" w:space="0"/>
            </w:tcBorders>
            <w:noWrap w:val="0"/>
            <w:vAlign w:val="center"/>
          </w:tcPr>
          <w:p w14:paraId="470AE9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2BE55B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86" w:type="pct"/>
            <w:tcBorders>
              <w:right w:val="single" w:color="auto" w:sz="4" w:space="0"/>
            </w:tcBorders>
            <w:noWrap w:val="0"/>
            <w:vAlign w:val="center"/>
          </w:tcPr>
          <w:p w14:paraId="4CD134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4F405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1521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338" w:type="pct"/>
            <w:vMerge w:val="restart"/>
            <w:tcBorders>
              <w:left w:val="single" w:color="auto" w:sz="4" w:space="0"/>
              <w:right w:val="single" w:color="auto" w:sz="4" w:space="0"/>
            </w:tcBorders>
            <w:noWrap w:val="0"/>
            <w:vAlign w:val="center"/>
          </w:tcPr>
          <w:p w14:paraId="63FAA3F6">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vMerge w:val="restart"/>
            <w:tcBorders>
              <w:left w:val="single" w:color="auto" w:sz="4" w:space="0"/>
              <w:right w:val="single" w:color="auto" w:sz="4" w:space="0"/>
            </w:tcBorders>
            <w:noWrap w:val="0"/>
            <w:vAlign w:val="center"/>
          </w:tcPr>
          <w:p w14:paraId="4A1734B6">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sz w:val="24"/>
                <w:szCs w:val="24"/>
                <w:highlight w:val="none"/>
                <w:lang w:val="en-US" w:eastAsia="zh-CN"/>
              </w:rPr>
              <w:t>温州市</w:t>
            </w:r>
            <w:r>
              <w:rPr>
                <w:rFonts w:hint="default" w:ascii="宋体" w:hAnsi="宋体" w:eastAsia="宋体" w:cs="宋体"/>
                <w:bCs/>
                <w:sz w:val="24"/>
                <w:szCs w:val="24"/>
                <w:highlight w:val="none"/>
                <w:lang w:val="en-US"/>
              </w:rPr>
              <w:t>龙湾区永中街道永中西路万华锦园3、4幢112室三年租赁权</w:t>
            </w:r>
          </w:p>
        </w:tc>
        <w:tc>
          <w:tcPr>
            <w:tcW w:w="984" w:type="pct"/>
            <w:tcBorders>
              <w:left w:val="single" w:color="auto" w:sz="4" w:space="0"/>
              <w:right w:val="single" w:color="auto" w:sz="4" w:space="0"/>
            </w:tcBorders>
            <w:noWrap w:val="0"/>
            <w:vAlign w:val="center"/>
          </w:tcPr>
          <w:p w14:paraId="1D7B5D2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kern w:val="2"/>
                <w:sz w:val="24"/>
                <w:szCs w:val="24"/>
                <w:lang w:val="en-US" w:eastAsia="zh-CN" w:bidi="ar-SA"/>
                <w14:textFill>
                  <w14:solidFill>
                    <w14:schemeClr w14:val="tx1"/>
                  </w14:solidFill>
                </w14:textFill>
              </w:rPr>
              <w:t>店面约65㎡</w:t>
            </w:r>
          </w:p>
        </w:tc>
        <w:tc>
          <w:tcPr>
            <w:tcW w:w="984" w:type="pct"/>
            <w:vMerge w:val="restart"/>
            <w:tcBorders>
              <w:left w:val="single" w:color="auto" w:sz="4" w:space="0"/>
              <w:right w:val="single" w:color="auto" w:sz="4" w:space="0"/>
            </w:tcBorders>
            <w:noWrap w:val="0"/>
            <w:vAlign w:val="center"/>
          </w:tcPr>
          <w:p w14:paraId="096927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kern w:val="2"/>
                <w:sz w:val="24"/>
                <w:szCs w:val="24"/>
                <w:lang w:val="en-US" w:eastAsia="zh-CN" w:bidi="ar-SA"/>
                <w14:textFill>
                  <w14:solidFill>
                    <w14:schemeClr w14:val="tx1"/>
                  </w14:solidFill>
                </w14:textFill>
              </w:rPr>
              <w:t>合计约</w:t>
            </w:r>
            <w:r>
              <w:rPr>
                <w:rFonts w:hint="eastAsia" w:ascii="宋体" w:hAnsi="宋体" w:cs="宋体"/>
                <w:bCs/>
                <w:color w:val="000000" w:themeColor="text1"/>
                <w:kern w:val="2"/>
                <w:sz w:val="24"/>
                <w:szCs w:val="24"/>
                <w:lang w:val="en-US" w:eastAsia="zh-CN" w:bidi="ar-SA"/>
                <w14:textFill>
                  <w14:solidFill>
                    <w14:schemeClr w14:val="tx1"/>
                  </w14:solidFill>
                </w14:textFill>
              </w:rPr>
              <w:t>144.05</w:t>
            </w:r>
            <w:r>
              <w:rPr>
                <w:rFonts w:hint="eastAsia" w:ascii="宋体" w:hAnsi="宋体" w:eastAsia="宋体" w:cs="宋体"/>
                <w:bCs/>
                <w:color w:val="000000" w:themeColor="text1"/>
                <w:kern w:val="2"/>
                <w:sz w:val="24"/>
                <w:szCs w:val="24"/>
                <w:lang w:val="en-US" w:eastAsia="zh-CN" w:bidi="ar-SA"/>
                <w14:textFill>
                  <w14:solidFill>
                    <w14:schemeClr w14:val="tx1"/>
                  </w14:solidFill>
                </w14:textFill>
              </w:rPr>
              <w:t>㎡</w:t>
            </w:r>
          </w:p>
        </w:tc>
        <w:tc>
          <w:tcPr>
            <w:tcW w:w="538" w:type="pct"/>
            <w:vMerge w:val="restart"/>
            <w:tcBorders>
              <w:left w:val="single" w:color="auto" w:sz="4" w:space="0"/>
              <w:right w:val="single" w:color="auto" w:sz="4" w:space="0"/>
            </w:tcBorders>
            <w:noWrap w:val="0"/>
            <w:vAlign w:val="center"/>
          </w:tcPr>
          <w:p w14:paraId="50FF3A7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81158</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586" w:type="pct"/>
            <w:vMerge w:val="restart"/>
            <w:tcBorders>
              <w:left w:val="single" w:color="auto" w:sz="4" w:space="0"/>
              <w:right w:val="single" w:color="auto" w:sz="4" w:space="0"/>
            </w:tcBorders>
            <w:noWrap w:val="0"/>
            <w:vAlign w:val="center"/>
          </w:tcPr>
          <w:p w14:paraId="72A813C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8万元</w:t>
            </w:r>
          </w:p>
        </w:tc>
      </w:tr>
      <w:tr w14:paraId="1A345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jc w:val="center"/>
        </w:trPr>
        <w:tc>
          <w:tcPr>
            <w:tcW w:w="338" w:type="pct"/>
            <w:vMerge w:val="continue"/>
            <w:tcBorders>
              <w:left w:val="single" w:color="auto" w:sz="4" w:space="0"/>
              <w:right w:val="single" w:color="auto" w:sz="4" w:space="0"/>
            </w:tcBorders>
            <w:noWrap w:val="0"/>
            <w:vAlign w:val="center"/>
          </w:tcPr>
          <w:p w14:paraId="4AA2FA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568" w:type="pct"/>
            <w:vMerge w:val="continue"/>
            <w:tcBorders>
              <w:left w:val="single" w:color="auto" w:sz="4" w:space="0"/>
              <w:right w:val="single" w:color="auto" w:sz="4" w:space="0"/>
            </w:tcBorders>
            <w:noWrap w:val="0"/>
            <w:vAlign w:val="center"/>
          </w:tcPr>
          <w:p w14:paraId="6C00FA3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984" w:type="pct"/>
            <w:tcBorders>
              <w:left w:val="single" w:color="auto" w:sz="4" w:space="0"/>
              <w:right w:val="single" w:color="auto" w:sz="4" w:space="0"/>
            </w:tcBorders>
            <w:noWrap w:val="0"/>
            <w:vAlign w:val="center"/>
          </w:tcPr>
          <w:p w14:paraId="294B9D1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Theme="minorEastAsia" w:hAnsiTheme="minorEastAsia" w:eastAsiaTheme="minorEastAsia" w:cstheme="minorEastAsia"/>
                <w:sz w:val="24"/>
                <w:szCs w:val="24"/>
                <w:lang w:val="en-US" w:eastAsia="zh-CN"/>
              </w:rPr>
              <w:t>非店面</w:t>
            </w:r>
            <w:r>
              <w:rPr>
                <w:rFonts w:hint="eastAsia" w:asciiTheme="minorEastAsia" w:hAnsiTheme="minorEastAsia" w:cstheme="minorEastAsia"/>
                <w:sz w:val="24"/>
                <w:szCs w:val="24"/>
                <w:lang w:val="en-US" w:eastAsia="zh-CN"/>
              </w:rPr>
              <w:t>约</w:t>
            </w:r>
            <w:r>
              <w:rPr>
                <w:rFonts w:hint="eastAsia" w:asciiTheme="minorEastAsia" w:hAnsiTheme="minorEastAsia" w:eastAsiaTheme="minorEastAsia" w:cstheme="minorEastAsia"/>
                <w:sz w:val="24"/>
                <w:szCs w:val="24"/>
                <w:lang w:val="en-US" w:eastAsia="zh-CN"/>
              </w:rPr>
              <w:t>64.05㎡</w:t>
            </w:r>
          </w:p>
        </w:tc>
        <w:tc>
          <w:tcPr>
            <w:tcW w:w="984" w:type="pct"/>
            <w:vMerge w:val="continue"/>
            <w:tcBorders>
              <w:left w:val="single" w:color="auto" w:sz="4" w:space="0"/>
              <w:right w:val="single" w:color="auto" w:sz="4" w:space="0"/>
            </w:tcBorders>
            <w:noWrap w:val="0"/>
            <w:vAlign w:val="center"/>
          </w:tcPr>
          <w:p w14:paraId="2BC49E1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38" w:type="pct"/>
            <w:vMerge w:val="continue"/>
            <w:tcBorders>
              <w:left w:val="single" w:color="auto" w:sz="4" w:space="0"/>
              <w:right w:val="single" w:color="auto" w:sz="4" w:space="0"/>
            </w:tcBorders>
            <w:noWrap w:val="0"/>
            <w:vAlign w:val="center"/>
          </w:tcPr>
          <w:p w14:paraId="01FD63F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86" w:type="pct"/>
            <w:vMerge w:val="continue"/>
            <w:tcBorders>
              <w:left w:val="single" w:color="auto" w:sz="4" w:space="0"/>
              <w:right w:val="single" w:color="auto" w:sz="4" w:space="0"/>
            </w:tcBorders>
            <w:noWrap w:val="0"/>
            <w:vAlign w:val="center"/>
          </w:tcPr>
          <w:p w14:paraId="063290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09ABA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338" w:type="pct"/>
            <w:vMerge w:val="continue"/>
            <w:tcBorders>
              <w:left w:val="single" w:color="auto" w:sz="4" w:space="0"/>
              <w:right w:val="single" w:color="auto" w:sz="4" w:space="0"/>
            </w:tcBorders>
            <w:noWrap w:val="0"/>
            <w:vAlign w:val="center"/>
          </w:tcPr>
          <w:p w14:paraId="74D7D2D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568" w:type="pct"/>
            <w:vMerge w:val="continue"/>
            <w:tcBorders>
              <w:left w:val="single" w:color="auto" w:sz="4" w:space="0"/>
              <w:right w:val="single" w:color="auto" w:sz="4" w:space="0"/>
            </w:tcBorders>
            <w:noWrap w:val="0"/>
            <w:vAlign w:val="center"/>
          </w:tcPr>
          <w:p w14:paraId="3253A0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984" w:type="pct"/>
            <w:tcBorders>
              <w:left w:val="single" w:color="auto" w:sz="4" w:space="0"/>
              <w:right w:val="single" w:color="auto" w:sz="4" w:space="0"/>
            </w:tcBorders>
            <w:noWrap w:val="0"/>
            <w:vAlign w:val="center"/>
          </w:tcPr>
          <w:p w14:paraId="096E7A8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Theme="minorEastAsia" w:hAnsiTheme="minorEastAsia" w:eastAsiaTheme="minorEastAsia" w:cstheme="minorEastAsia"/>
                <w:sz w:val="24"/>
                <w:szCs w:val="24"/>
                <w:lang w:val="en-US" w:eastAsia="zh-CN"/>
              </w:rPr>
              <w:t>楼梯下约15㎡</w:t>
            </w:r>
          </w:p>
        </w:tc>
        <w:tc>
          <w:tcPr>
            <w:tcW w:w="984" w:type="pct"/>
            <w:vMerge w:val="continue"/>
            <w:tcBorders>
              <w:left w:val="single" w:color="auto" w:sz="4" w:space="0"/>
              <w:right w:val="single" w:color="auto" w:sz="4" w:space="0"/>
            </w:tcBorders>
            <w:noWrap w:val="0"/>
            <w:vAlign w:val="center"/>
          </w:tcPr>
          <w:p w14:paraId="09DD898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38" w:type="pct"/>
            <w:vMerge w:val="continue"/>
            <w:tcBorders>
              <w:left w:val="single" w:color="auto" w:sz="4" w:space="0"/>
              <w:right w:val="single" w:color="auto" w:sz="4" w:space="0"/>
            </w:tcBorders>
            <w:noWrap w:val="0"/>
            <w:vAlign w:val="center"/>
          </w:tcPr>
          <w:p w14:paraId="57BC9E8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86" w:type="pct"/>
            <w:vMerge w:val="continue"/>
            <w:tcBorders>
              <w:left w:val="single" w:color="auto" w:sz="4" w:space="0"/>
              <w:right w:val="single" w:color="auto" w:sz="4" w:space="0"/>
            </w:tcBorders>
            <w:noWrap w:val="0"/>
            <w:vAlign w:val="center"/>
          </w:tcPr>
          <w:p w14:paraId="0582F9F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5C6B9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3" w:hRule="atLeast"/>
          <w:jc w:val="center"/>
        </w:trPr>
        <w:tc>
          <w:tcPr>
            <w:tcW w:w="338" w:type="pct"/>
            <w:tcBorders>
              <w:left w:val="single" w:color="auto" w:sz="4" w:space="0"/>
              <w:right w:val="single" w:color="auto" w:sz="4" w:space="0"/>
            </w:tcBorders>
            <w:noWrap w:val="0"/>
            <w:vAlign w:val="center"/>
          </w:tcPr>
          <w:p w14:paraId="72424AB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68" w:type="pct"/>
            <w:tcBorders>
              <w:left w:val="single" w:color="auto" w:sz="4" w:space="0"/>
              <w:right w:val="single" w:color="auto" w:sz="4" w:space="0"/>
            </w:tcBorders>
            <w:noWrap w:val="0"/>
            <w:vAlign w:val="center"/>
          </w:tcPr>
          <w:p w14:paraId="4456AC89">
            <w:pPr>
              <w:pStyle w:val="3"/>
              <w:ind w:left="0" w:leftChars="0" w:firstLine="0" w:firstLineChars="0"/>
              <w:jc w:val="center"/>
              <w:rPr>
                <w:rFonts w:hint="eastAsia" w:ascii="宋体" w:hAnsi="宋体" w:eastAsia="宋体" w:cs="宋体"/>
                <w:bCs/>
                <w:sz w:val="24"/>
                <w:szCs w:val="24"/>
                <w:highlight w:val="none"/>
                <w:lang w:val="en-US" w:eastAsia="zh-CN"/>
              </w:rPr>
            </w:pPr>
            <w:r>
              <w:rPr>
                <w:rFonts w:hint="default" w:ascii="宋体" w:hAnsi="宋体" w:eastAsia="宋体" w:cs="宋体"/>
                <w:bCs/>
                <w:sz w:val="24"/>
                <w:szCs w:val="24"/>
                <w:highlight w:val="none"/>
                <w:lang w:val="en-US"/>
              </w:rPr>
              <w:t>温州市龙湾区永中街道永中西路万华锦园10幢104室三年租赁权</w:t>
            </w:r>
          </w:p>
        </w:tc>
        <w:tc>
          <w:tcPr>
            <w:tcW w:w="1969" w:type="pct"/>
            <w:gridSpan w:val="2"/>
            <w:tcBorders>
              <w:left w:val="single" w:color="auto" w:sz="4" w:space="0"/>
              <w:right w:val="single" w:color="auto" w:sz="4" w:space="0"/>
            </w:tcBorders>
            <w:noWrap w:val="0"/>
            <w:vAlign w:val="center"/>
          </w:tcPr>
          <w:p w14:paraId="6FC7908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约115.81㎡</w:t>
            </w:r>
          </w:p>
        </w:tc>
        <w:tc>
          <w:tcPr>
            <w:tcW w:w="538" w:type="pct"/>
            <w:tcBorders>
              <w:left w:val="single" w:color="auto" w:sz="4" w:space="0"/>
              <w:right w:val="single" w:color="auto" w:sz="4" w:space="0"/>
            </w:tcBorders>
            <w:noWrap w:val="0"/>
            <w:vAlign w:val="center"/>
          </w:tcPr>
          <w:p w14:paraId="0A76CD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69486元</w:t>
            </w:r>
          </w:p>
        </w:tc>
        <w:tc>
          <w:tcPr>
            <w:tcW w:w="586" w:type="pct"/>
            <w:tcBorders>
              <w:left w:val="single" w:color="auto" w:sz="4" w:space="0"/>
              <w:right w:val="single" w:color="auto" w:sz="4" w:space="0"/>
            </w:tcBorders>
            <w:noWrap w:val="0"/>
            <w:vAlign w:val="center"/>
          </w:tcPr>
          <w:p w14:paraId="0081B43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7万元</w:t>
            </w:r>
          </w:p>
        </w:tc>
      </w:tr>
      <w:tr w14:paraId="54B19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3" w:hRule="atLeast"/>
          <w:jc w:val="center"/>
        </w:trPr>
        <w:tc>
          <w:tcPr>
            <w:tcW w:w="5000" w:type="pct"/>
            <w:gridSpan w:val="6"/>
            <w:tcBorders>
              <w:left w:val="single" w:color="auto" w:sz="4" w:space="0"/>
              <w:right w:val="single" w:color="auto" w:sz="4" w:space="0"/>
            </w:tcBorders>
            <w:noWrap w:val="0"/>
            <w:vAlign w:val="center"/>
          </w:tcPr>
          <w:p w14:paraId="66D89952">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1、租期3年，租赁期内租金不变，租金(不含税）一年一付，先付后用。</w:t>
            </w:r>
          </w:p>
          <w:p w14:paraId="5C7DBBA4">
            <w:pPr>
              <w:pStyle w:val="3"/>
              <w:ind w:left="0" w:leftChars="0"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2、装修期</w:t>
            </w:r>
            <w:r>
              <w:rPr>
                <w:rFonts w:hint="eastAsia" w:cs="宋体"/>
                <w:bCs/>
                <w:kern w:val="2"/>
                <w:sz w:val="24"/>
                <w:szCs w:val="24"/>
                <w:highlight w:val="none"/>
                <w:lang w:val="en-US" w:eastAsia="zh-CN" w:bidi="ar"/>
              </w:rPr>
              <w:t>15</w:t>
            </w:r>
            <w:r>
              <w:rPr>
                <w:rFonts w:hint="eastAsia" w:ascii="宋体" w:hAnsi="宋体" w:cs="宋体"/>
                <w:bCs/>
                <w:kern w:val="2"/>
                <w:sz w:val="24"/>
                <w:szCs w:val="24"/>
                <w:highlight w:val="none"/>
                <w:lang w:val="en-US" w:eastAsia="zh-CN" w:bidi="ar"/>
              </w:rPr>
              <w:t>日，不计租期及租金</w:t>
            </w:r>
            <w:r>
              <w:rPr>
                <w:rFonts w:hint="eastAsia"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314960</wp:posOffset>
            </wp:positionH>
            <wp:positionV relativeFrom="paragraph">
              <wp:posOffset>24765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default"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09214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single"/>
          <w:lang w:val="en-US" w:eastAsia="zh-CN"/>
        </w:rPr>
      </w:pPr>
      <w:r>
        <w:rPr>
          <w:rFonts w:hint="eastAsia" w:ascii="宋体" w:hAnsi="宋体" w:cs="宋体"/>
          <w:color w:val="auto"/>
          <w:sz w:val="24"/>
          <w:szCs w:val="24"/>
          <w:u w:val="single"/>
          <w:lang w:val="en-US" w:eastAsia="zh-CN"/>
        </w:rPr>
        <w:t>8、就标的物存在或可能存在的瑕疵（包括但不限于漏水、墙地面开裂、门窗损坏、设备设施损坏缺失等）和使用风险，须承租人自行修缮、弥补、承租。</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314960</wp:posOffset>
            </wp:positionH>
            <wp:positionV relativeFrom="paragraph">
              <wp:posOffset>-3310255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15</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7</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22</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租金（不含税）一年一付，先付后用，租赁期内租金不变</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7月29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永中街道寺西</w:t>
      </w:r>
      <w:r>
        <w:rPr>
          <w:rFonts w:hint="eastAsia" w:ascii="宋体" w:hAnsi="宋体"/>
          <w:color w:val="auto"/>
          <w:sz w:val="24"/>
          <w:highlight w:val="none"/>
          <w:lang w:eastAsia="zh-CN"/>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2025年7月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488315</wp:posOffset>
            </wp:positionH>
            <wp:positionV relativeFrom="paragraph">
              <wp:posOffset>179070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温州市龙湾区永中街道寺西村股份经济合作社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商业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87C0FCD">
      <w:pPr>
        <w:pStyle w:val="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cs="宋体"/>
          <w:b/>
          <w:color w:val="auto"/>
          <w:sz w:val="24"/>
          <w:szCs w:val="24"/>
          <w:highlight w:val="none"/>
          <w:lang w:val="en-US" w:eastAsia="zh-CN"/>
        </w:rPr>
      </w:pP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一</w:t>
      </w:r>
      <w:r>
        <w:rPr>
          <w:rFonts w:hint="eastAsia" w:cs="宋体"/>
          <w:sz w:val="24"/>
          <w:szCs w:val="24"/>
          <w:highlight w:val="none"/>
          <w:lang w:val="en-US"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租赁期内租金不变</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寺西村租赁项目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FC5649B">
      <w:pPr>
        <w:tabs>
          <w:tab w:val="left" w:pos="0"/>
          <w:tab w:val="center" w:pos="4200"/>
        </w:tabs>
        <w:spacing w:line="520" w:lineRule="exact"/>
        <w:ind w:right="105" w:rightChars="50"/>
        <w:jc w:val="center"/>
        <w:rPr>
          <w:rFonts w:hint="eastAsia" w:ascii="黑体" w:hAnsi="黑体" w:eastAsia="黑体" w:cs="黑体"/>
          <w:sz w:val="36"/>
          <w:szCs w:val="36"/>
        </w:rPr>
      </w:pPr>
    </w:p>
    <w:p w14:paraId="0DFF75A9">
      <w:pPr>
        <w:tabs>
          <w:tab w:val="left" w:pos="0"/>
          <w:tab w:val="center" w:pos="4200"/>
        </w:tabs>
        <w:spacing w:line="520" w:lineRule="exact"/>
        <w:ind w:right="105" w:rightChars="50"/>
        <w:jc w:val="center"/>
        <w:rPr>
          <w:rFonts w:hint="eastAsia" w:ascii="黑体" w:hAnsi="黑体" w:eastAsia="黑体" w:cs="黑体"/>
          <w:sz w:val="36"/>
          <w:szCs w:val="36"/>
        </w:rPr>
      </w:pPr>
    </w:p>
    <w:p w14:paraId="1BEC702A">
      <w:pPr>
        <w:tabs>
          <w:tab w:val="left" w:pos="0"/>
          <w:tab w:val="center" w:pos="4200"/>
        </w:tabs>
        <w:spacing w:line="520" w:lineRule="exact"/>
        <w:ind w:right="105" w:rightChars="50"/>
        <w:jc w:val="center"/>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B57681E"/>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C2FA1"/>
    <w:rsid w:val="3DEC4B39"/>
    <w:rsid w:val="405A7C3B"/>
    <w:rsid w:val="44727C49"/>
    <w:rsid w:val="46CF2C6D"/>
    <w:rsid w:val="46F52BC5"/>
    <w:rsid w:val="48107F97"/>
    <w:rsid w:val="485507CB"/>
    <w:rsid w:val="491D1E84"/>
    <w:rsid w:val="4B653631"/>
    <w:rsid w:val="4B7D3443"/>
    <w:rsid w:val="4E4B5067"/>
    <w:rsid w:val="4E6F4B7C"/>
    <w:rsid w:val="4E7E7CA6"/>
    <w:rsid w:val="4E8314AE"/>
    <w:rsid w:val="4F7F76BE"/>
    <w:rsid w:val="4F894E59"/>
    <w:rsid w:val="4FD57E9D"/>
    <w:rsid w:val="502344EE"/>
    <w:rsid w:val="51AA591B"/>
    <w:rsid w:val="54113319"/>
    <w:rsid w:val="542030F8"/>
    <w:rsid w:val="548C0FD9"/>
    <w:rsid w:val="54971006"/>
    <w:rsid w:val="55631913"/>
    <w:rsid w:val="55832C1B"/>
    <w:rsid w:val="56731069"/>
    <w:rsid w:val="5943350B"/>
    <w:rsid w:val="594A0FC2"/>
    <w:rsid w:val="5A3D43FE"/>
    <w:rsid w:val="5A7B6781"/>
    <w:rsid w:val="5B3663E0"/>
    <w:rsid w:val="5C616110"/>
    <w:rsid w:val="5CB57990"/>
    <w:rsid w:val="5FDC6467"/>
    <w:rsid w:val="61B52ACC"/>
    <w:rsid w:val="624714F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11464</Words>
  <Characters>11806</Characters>
  <Lines>0</Lines>
  <Paragraphs>0</Paragraphs>
  <TotalTime>3</TotalTime>
  <ScaleCrop>false</ScaleCrop>
  <LinksUpToDate>false</LinksUpToDate>
  <CharactersWithSpaces>12999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2025-07-15T06:40:32Z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85F1573C097440F394C3622F7ED19631_13</vt:lpwstr>
  </property>
  <property fmtid="{D5CDD505-2E9C-101B-9397-08002B2CF9AE}" pid="4" name="KSOTemplateDocerSaveRecord">
    <vt:lpwstr>eyJoZGlkIjoiNjkzNzY2ODI0NTRlMDg1NTUzNmE2YWY4ZWJjMjE2MDMiLCJ1c2VySWQiOiIxNTk0MDAzNDA5In0=</vt:lpwstr>
  </property>
</Properties>
</file>