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温州市龙湾区永兴街道沙园村万安家园1、2幢201室五年租赁权竞价文件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2025年8月19日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温州市龙湾区永兴街道沙园村万安家园1、2幢201室五年租赁权竞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定于2025年</w:t>
      </w:r>
      <w:r>
        <w:rPr>
          <w:rFonts w:hint="eastAsia" w:ascii="宋体" w:hAnsi="宋体"/>
          <w:color w:val="auto"/>
          <w:sz w:val="24"/>
          <w:szCs w:val="24"/>
          <w:highlight w:val="none"/>
          <w:u w:val="none"/>
          <w:lang w:val="en-US" w:eastAsia="zh-CN"/>
        </w:rPr>
        <w:t>8月26日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9时30分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2025年8月27日上午9时30分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温州市龙湾区永兴街道沙园村万安家园1、2幢201室五年租赁权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1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3332"/>
        <w:gridCol w:w="1866"/>
        <w:gridCol w:w="2100"/>
        <w:gridCol w:w="1457"/>
      </w:tblGrid>
      <w:tr w14:paraId="0DC12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3" w:type="pct"/>
            <w:tcBorders>
              <w:left w:val="single" w:color="auto" w:sz="4" w:space="0"/>
            </w:tcBorders>
            <w:noWrap w:val="0"/>
            <w:vAlign w:val="center"/>
          </w:tcPr>
          <w:p w14:paraId="768AD9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147D4F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761" w:type="pct"/>
            <w:noWrap w:val="0"/>
            <w:vAlign w:val="center"/>
          </w:tcPr>
          <w:p w14:paraId="48764D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986" w:type="pct"/>
            <w:noWrap w:val="0"/>
            <w:vAlign w:val="center"/>
          </w:tcPr>
          <w:p w14:paraId="4E1A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10" w:type="pct"/>
            <w:tcBorders>
              <w:right w:val="single" w:color="auto" w:sz="4" w:space="0"/>
            </w:tcBorders>
            <w:noWrap w:val="0"/>
            <w:vAlign w:val="center"/>
          </w:tcPr>
          <w:p w14:paraId="0FC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38385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768" w:type="pct"/>
            <w:tcBorders>
              <w:right w:val="single" w:color="auto" w:sz="4" w:space="0"/>
            </w:tcBorders>
            <w:noWrap w:val="0"/>
            <w:vAlign w:val="center"/>
          </w:tcPr>
          <w:p w14:paraId="1B7C6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52083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E1C8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73" w:type="pct"/>
            <w:tcBorders>
              <w:left w:val="single" w:color="auto" w:sz="4" w:space="0"/>
              <w:right w:val="single" w:color="auto" w:sz="4" w:space="0"/>
            </w:tcBorders>
            <w:noWrap w:val="0"/>
            <w:vAlign w:val="center"/>
          </w:tcPr>
          <w:p w14:paraId="4ECAF535">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1761" w:type="pct"/>
            <w:tcBorders>
              <w:left w:val="single" w:color="auto" w:sz="4" w:space="0"/>
              <w:right w:val="single" w:color="auto" w:sz="4" w:space="0"/>
            </w:tcBorders>
            <w:noWrap w:val="0"/>
            <w:vAlign w:val="center"/>
          </w:tcPr>
          <w:p w14:paraId="17A9A43D">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温州市龙湾区永兴街道沙园村万安家园1、2幢201室五年租赁权</w:t>
            </w:r>
          </w:p>
        </w:tc>
        <w:tc>
          <w:tcPr>
            <w:tcW w:w="986" w:type="pct"/>
            <w:tcBorders>
              <w:left w:val="single" w:color="auto" w:sz="4" w:space="0"/>
              <w:right w:val="single" w:color="auto" w:sz="4" w:space="0"/>
            </w:tcBorders>
            <w:noWrap w:val="0"/>
            <w:vAlign w:val="center"/>
          </w:tcPr>
          <w:p w14:paraId="25D5F9D7">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约909.14㎡</w:t>
            </w:r>
          </w:p>
        </w:tc>
        <w:tc>
          <w:tcPr>
            <w:tcW w:w="1110" w:type="pct"/>
            <w:tcBorders>
              <w:left w:val="single" w:color="auto" w:sz="4" w:space="0"/>
              <w:right w:val="single" w:color="auto" w:sz="4" w:space="0"/>
            </w:tcBorders>
            <w:noWrap w:val="0"/>
            <w:vAlign w:val="center"/>
          </w:tcPr>
          <w:p w14:paraId="6EA309A0">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cs="宋体"/>
                <w:bCs/>
                <w:color w:val="auto"/>
                <w:kern w:val="2"/>
                <w:sz w:val="24"/>
                <w:szCs w:val="24"/>
                <w:highlight w:val="none"/>
                <w:u w:val="none"/>
                <w:lang w:val="en-US" w:eastAsia="zh-CN" w:bidi="ar-SA"/>
              </w:rPr>
              <w:t>250923元</w:t>
            </w:r>
          </w:p>
        </w:tc>
        <w:tc>
          <w:tcPr>
            <w:tcW w:w="768" w:type="pct"/>
            <w:tcBorders>
              <w:left w:val="single" w:color="auto" w:sz="4" w:space="0"/>
              <w:right w:val="single" w:color="auto" w:sz="4" w:space="0"/>
            </w:tcBorders>
            <w:noWrap w:val="0"/>
            <w:vAlign w:val="center"/>
          </w:tcPr>
          <w:p w14:paraId="3AD89C74">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25万元</w:t>
            </w:r>
          </w:p>
        </w:tc>
      </w:tr>
      <w:tr w14:paraId="55DCC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6" w:hRule="atLeast"/>
          <w:jc w:val="center"/>
        </w:trPr>
        <w:tc>
          <w:tcPr>
            <w:tcW w:w="5000" w:type="pct"/>
            <w:gridSpan w:val="5"/>
            <w:tcBorders>
              <w:left w:val="single" w:color="auto" w:sz="4" w:space="0"/>
              <w:right w:val="single" w:color="auto" w:sz="4" w:space="0"/>
            </w:tcBorders>
            <w:noWrap w:val="0"/>
            <w:vAlign w:val="center"/>
          </w:tcPr>
          <w:p w14:paraId="318A127E">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1.租期5年，第1-3年租金不变，第4-5年在第3年租金的基础上递增2%，租金（不含税）一年一付，先付后用。</w:t>
            </w:r>
          </w:p>
          <w:p w14:paraId="198A0845">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标的设装修期30日，不计租金及租期。</w:t>
            </w:r>
          </w:p>
        </w:tc>
      </w:tr>
    </w:tbl>
    <w:p w14:paraId="3FE16CE5">
      <w:pPr>
        <w:pStyle w:val="7"/>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4FBA2FA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竞价对象：有效存续的企业法人。</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w:t>
      </w:r>
      <w:r>
        <w:rPr>
          <w:rFonts w:hint="eastAsia" w:ascii="宋体" w:hAnsi="宋体" w:cs="Times New Roman"/>
          <w:color w:val="auto"/>
          <w:sz w:val="24"/>
          <w:szCs w:val="24"/>
          <w:u w:val="none"/>
          <w:lang w:val="en-US" w:eastAsia="zh-CN"/>
        </w:rPr>
        <w:t>首</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沙园村租赁项目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租赁履约保证金：7万元。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8</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25</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39B6A14">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cs="Times New Roman"/>
          <w:color w:val="auto"/>
          <w:sz w:val="24"/>
          <w:szCs w:val="24"/>
          <w:u w:val="none"/>
          <w:lang w:val="en-US" w:eastAsia="zh-CN"/>
        </w:rPr>
      </w:pPr>
    </w:p>
    <w:p w14:paraId="6CA4769A">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宋体"/>
          <w:bCs/>
          <w:kern w:val="2"/>
          <w:sz w:val="24"/>
          <w:szCs w:val="24"/>
          <w:lang w:val="en-US" w:eastAsia="zh-CN" w:bidi="ar-SA"/>
        </w:rPr>
      </w:pPr>
      <w:r>
        <w:rPr>
          <w:rFonts w:hint="eastAsia" w:ascii="宋体" w:hAnsi="宋体" w:cs="宋体"/>
          <w:bCs/>
          <w:kern w:val="2"/>
          <w:sz w:val="24"/>
          <w:szCs w:val="24"/>
          <w:lang w:val="en-US" w:eastAsia="zh-CN" w:bidi="ar-SA"/>
        </w:rPr>
        <w:t>温州市龙湾区永兴街道沙园村股份经济合作社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286385</wp:posOffset>
            </wp:positionH>
            <wp:positionV relativeFrom="paragraph">
              <wp:posOffset>101600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2025年8月19日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2025年8月19日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8月26日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温州市龙湾区永兴街道沙园村股份经济合作社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489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1"/>
        <w:gridCol w:w="4078"/>
        <w:gridCol w:w="1533"/>
        <w:gridCol w:w="1541"/>
        <w:gridCol w:w="1209"/>
      </w:tblGrid>
      <w:tr w14:paraId="5789A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87" w:type="pct"/>
            <w:tcBorders>
              <w:left w:val="single" w:color="auto" w:sz="4" w:space="0"/>
            </w:tcBorders>
            <w:noWrap w:val="0"/>
            <w:vAlign w:val="center"/>
          </w:tcPr>
          <w:p w14:paraId="093ED4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37F6C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250" w:type="pct"/>
            <w:noWrap w:val="0"/>
            <w:vAlign w:val="center"/>
          </w:tcPr>
          <w:p w14:paraId="07AD90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46" w:type="pct"/>
            <w:noWrap w:val="0"/>
            <w:vAlign w:val="center"/>
          </w:tcPr>
          <w:p w14:paraId="3D7F2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850" w:type="pct"/>
            <w:tcBorders>
              <w:right w:val="single" w:color="auto" w:sz="4" w:space="0"/>
            </w:tcBorders>
            <w:noWrap w:val="0"/>
            <w:vAlign w:val="center"/>
          </w:tcPr>
          <w:p w14:paraId="5BAE32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首</w:t>
            </w:r>
            <w:r>
              <w:rPr>
                <w:rFonts w:hint="eastAsia" w:ascii="宋体" w:hAnsi="宋体" w:eastAsia="宋体" w:cs="宋体"/>
                <w:b/>
                <w:color w:val="000000"/>
                <w:sz w:val="24"/>
                <w:szCs w:val="24"/>
                <w:lang w:val="en-US" w:eastAsia="zh-CN"/>
              </w:rPr>
              <w:t>年租金</w:t>
            </w:r>
          </w:p>
          <w:p w14:paraId="26C3A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64" w:type="pct"/>
            <w:tcBorders>
              <w:right w:val="single" w:color="auto" w:sz="4" w:space="0"/>
            </w:tcBorders>
            <w:noWrap w:val="0"/>
            <w:vAlign w:val="center"/>
          </w:tcPr>
          <w:p w14:paraId="0D580F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76D4A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2E3B9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387" w:type="pct"/>
            <w:tcBorders>
              <w:left w:val="single" w:color="auto" w:sz="4" w:space="0"/>
              <w:right w:val="single" w:color="auto" w:sz="4" w:space="0"/>
            </w:tcBorders>
            <w:noWrap w:val="0"/>
            <w:vAlign w:val="center"/>
          </w:tcPr>
          <w:p w14:paraId="7C9E42A1">
            <w:pPr>
              <w:pStyle w:val="3"/>
              <w:ind w:left="0" w:leftChars="0" w:firstLine="0" w:firstLineChars="0"/>
              <w:jc w:val="center"/>
              <w:rPr>
                <w:rFonts w:hint="default" w:cs="宋体"/>
                <w:color w:val="000000" w:themeColor="text1"/>
                <w:sz w:val="24"/>
                <w:szCs w:val="24"/>
                <w:u w:val="none"/>
                <w:lang w:val="en-US" w:eastAsia="zh-CN"/>
                <w14:textFill>
                  <w14:solidFill>
                    <w14:schemeClr w14:val="tx1"/>
                  </w14:solidFill>
                </w14:textFill>
              </w:rPr>
            </w:pPr>
            <w:r>
              <w:rPr>
                <w:rFonts w:hint="eastAsia" w:cs="宋体"/>
                <w:color w:val="000000" w:themeColor="text1"/>
                <w:sz w:val="24"/>
                <w:szCs w:val="24"/>
                <w:u w:val="none"/>
                <w:lang w:val="en-US" w:eastAsia="zh-CN"/>
                <w14:textFill>
                  <w14:solidFill>
                    <w14:schemeClr w14:val="tx1"/>
                  </w14:solidFill>
                </w14:textFill>
              </w:rPr>
              <w:t>1</w:t>
            </w:r>
          </w:p>
        </w:tc>
        <w:tc>
          <w:tcPr>
            <w:tcW w:w="2250" w:type="pct"/>
            <w:tcBorders>
              <w:left w:val="single" w:color="auto" w:sz="4" w:space="0"/>
              <w:right w:val="single" w:color="auto" w:sz="4" w:space="0"/>
            </w:tcBorders>
            <w:noWrap w:val="0"/>
            <w:vAlign w:val="center"/>
          </w:tcPr>
          <w:p w14:paraId="113AAEA1">
            <w:pPr>
              <w:pStyle w:val="3"/>
              <w:ind w:left="0" w:leftChars="0" w:firstLine="0" w:firstLineChars="0"/>
              <w:jc w:val="center"/>
              <w:rPr>
                <w:rFonts w:hint="eastAsia" w:ascii="宋体" w:hAnsi="宋体" w:eastAsia="宋体" w:cs="宋体"/>
                <w:color w:val="000000" w:themeColor="text1"/>
                <w:sz w:val="24"/>
                <w:szCs w:val="24"/>
                <w:u w:val="none"/>
                <w:lang w:val="en-US" w:eastAsia="zh-CN"/>
                <w14:textFill>
                  <w14:solidFill>
                    <w14:schemeClr w14:val="tx1"/>
                  </w14:solidFill>
                </w14:textFill>
              </w:rPr>
            </w:pPr>
            <w:r>
              <w:rPr>
                <w:rFonts w:hint="eastAsia" w:cs="宋体"/>
                <w:bCs/>
                <w:sz w:val="24"/>
                <w:szCs w:val="24"/>
                <w:highlight w:val="none"/>
                <w:lang w:val="en-US" w:eastAsia="zh-CN"/>
              </w:rPr>
              <w:t>温州市龙湾区永兴街道沙园村万安家园1、2幢201室五年租赁权</w:t>
            </w:r>
          </w:p>
        </w:tc>
        <w:tc>
          <w:tcPr>
            <w:tcW w:w="846" w:type="pct"/>
            <w:tcBorders>
              <w:left w:val="single" w:color="auto" w:sz="4" w:space="0"/>
              <w:right w:val="single" w:color="auto" w:sz="4" w:space="0"/>
            </w:tcBorders>
            <w:noWrap w:val="0"/>
            <w:vAlign w:val="center"/>
          </w:tcPr>
          <w:p w14:paraId="11DD9655">
            <w:pPr>
              <w:spacing w:line="300" w:lineRule="exact"/>
              <w:jc w:val="cente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Cs/>
                <w:kern w:val="2"/>
                <w:sz w:val="24"/>
                <w:szCs w:val="24"/>
                <w:highlight w:val="none"/>
                <w:u w:val="none"/>
                <w:lang w:val="en-US" w:eastAsia="zh-CN" w:bidi="ar-SA"/>
              </w:rPr>
              <w:t>约909.14㎡</w:t>
            </w:r>
          </w:p>
        </w:tc>
        <w:tc>
          <w:tcPr>
            <w:tcW w:w="850" w:type="pct"/>
            <w:tcBorders>
              <w:left w:val="single" w:color="auto" w:sz="4" w:space="0"/>
              <w:right w:val="single" w:color="auto" w:sz="4" w:space="0"/>
            </w:tcBorders>
            <w:noWrap w:val="0"/>
            <w:vAlign w:val="center"/>
          </w:tcPr>
          <w:p w14:paraId="5E44814B">
            <w:pPr>
              <w:spacing w:line="3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cs="宋体"/>
                <w:bCs/>
                <w:color w:val="auto"/>
                <w:kern w:val="2"/>
                <w:sz w:val="24"/>
                <w:szCs w:val="24"/>
                <w:highlight w:val="none"/>
                <w:u w:val="none"/>
                <w:lang w:val="en-US" w:eastAsia="zh-CN" w:bidi="ar-SA"/>
              </w:rPr>
              <w:t>250923元</w:t>
            </w:r>
          </w:p>
        </w:tc>
        <w:tc>
          <w:tcPr>
            <w:tcW w:w="664" w:type="pct"/>
            <w:tcBorders>
              <w:left w:val="single" w:color="auto" w:sz="4" w:space="0"/>
              <w:right w:val="single" w:color="auto" w:sz="4" w:space="0"/>
            </w:tcBorders>
            <w:noWrap w:val="0"/>
            <w:vAlign w:val="center"/>
          </w:tcPr>
          <w:p w14:paraId="4A51292B">
            <w:pPr>
              <w:spacing w:line="300" w:lineRule="exact"/>
              <w:jc w:val="center"/>
              <w:rPr>
                <w:rFonts w:hint="eastAsia" w:asciiTheme="minorEastAsia" w:hAnsiTheme="minorEastAsia" w:eastAsiaTheme="minorEastAsia" w:cstheme="minorEastAsia"/>
                <w:color w:val="000000" w:themeColor="text1"/>
                <w:sz w:val="24"/>
                <w:szCs w:val="24"/>
                <w:u w:val="none"/>
                <w:lang w:val="en-US" w:eastAsia="zh-CN"/>
                <w14:textFill>
                  <w14:solidFill>
                    <w14:schemeClr w14:val="tx1"/>
                  </w14:solidFill>
                </w14:textFill>
              </w:rPr>
            </w:pPr>
            <w:r>
              <w:rPr>
                <w:rFonts w:hint="eastAsia" w:asciiTheme="minorEastAsia" w:hAnsiTheme="minorEastAsia" w:eastAsiaTheme="minorEastAsia" w:cstheme="minorEastAsia"/>
                <w:bCs/>
                <w:color w:val="auto"/>
                <w:kern w:val="2"/>
                <w:sz w:val="24"/>
                <w:szCs w:val="24"/>
                <w:highlight w:val="none"/>
                <w:u w:val="none"/>
                <w:lang w:val="en-US" w:eastAsia="zh-CN" w:bidi="ar-SA"/>
              </w:rPr>
              <w:t>25万元</w:t>
            </w:r>
          </w:p>
        </w:tc>
      </w:tr>
      <w:tr w14:paraId="04802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jc w:val="center"/>
        </w:trPr>
        <w:tc>
          <w:tcPr>
            <w:tcW w:w="5000" w:type="pct"/>
            <w:gridSpan w:val="5"/>
            <w:tcBorders>
              <w:left w:val="single" w:color="auto" w:sz="4" w:space="0"/>
              <w:right w:val="single" w:color="auto" w:sz="4" w:space="0"/>
            </w:tcBorders>
            <w:noWrap w:val="0"/>
            <w:vAlign w:val="center"/>
          </w:tcPr>
          <w:p w14:paraId="367DC6D1">
            <w:pPr>
              <w:numPr>
                <w:ilvl w:val="0"/>
                <w:numId w:val="0"/>
              </w:numPr>
              <w:rPr>
                <w:rFonts w:hint="eastAsia" w:ascii="宋体" w:hAnsi="宋体" w:eastAsia="宋体" w:cs="宋体"/>
                <w:bCs/>
                <w:kern w:val="2"/>
                <w:sz w:val="24"/>
                <w:szCs w:val="24"/>
                <w:highlight w:val="none"/>
                <w:lang w:val="en-US" w:eastAsia="zh-CN" w:bidi="ar"/>
              </w:rPr>
            </w:pPr>
            <w:r>
              <w:rPr>
                <w:rFonts w:hint="eastAsia" w:ascii="宋体" w:hAnsi="宋体" w:eastAsia="宋体" w:cs="宋体"/>
                <w:bCs/>
                <w:sz w:val="24"/>
                <w:szCs w:val="24"/>
                <w:lang w:val="en-US" w:eastAsia="zh-CN"/>
              </w:rPr>
              <w:t>注：</w:t>
            </w:r>
            <w:r>
              <w:rPr>
                <w:rFonts w:hint="eastAsia" w:ascii="宋体" w:hAnsi="宋体" w:eastAsia="宋体" w:cs="宋体"/>
                <w:bCs/>
                <w:kern w:val="2"/>
                <w:sz w:val="24"/>
                <w:szCs w:val="24"/>
                <w:highlight w:val="none"/>
                <w:lang w:val="en-US" w:eastAsia="zh-CN" w:bidi="ar"/>
              </w:rPr>
              <w:t>1.租期5年，第1-3年租金不变，第4-5年在第3年租金的基础上递增2%，租金（不含税）一年一付，先付后用。</w:t>
            </w:r>
          </w:p>
          <w:p w14:paraId="4ADAF06F">
            <w:pPr>
              <w:numPr>
                <w:ilvl w:val="0"/>
                <w:numId w:val="0"/>
              </w:numPr>
              <w:ind w:firstLine="480" w:firstLineChars="200"/>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标的设装修期30日，不计租金及租期。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17B1E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280670</wp:posOffset>
            </wp:positionH>
            <wp:positionV relativeFrom="paragraph">
              <wp:posOffset>100330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val="en-US" w:eastAsia="zh-CN"/>
              </w:rPr>
              <w:t>根据5年租金总额，采用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237490</wp:posOffset>
            </wp:positionH>
            <wp:positionV relativeFrom="paragraph">
              <wp:posOffset>-2875915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2025年8月19日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8月26日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，租期5年，第1-3年租金不变，第4-5年在第3年租金的基础上递增2%，租金（不含税）一年一付，先付后用</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w:t>
      </w:r>
      <w:r>
        <w:rPr>
          <w:rFonts w:hint="eastAsia" w:ascii="宋体" w:hAnsi="宋体" w:cs="宋体"/>
          <w:bCs/>
          <w:kern w:val="2"/>
          <w:sz w:val="24"/>
          <w:szCs w:val="24"/>
          <w:lang w:val="en-US" w:eastAsia="zh-CN" w:bidi="ar-SA"/>
        </w:rPr>
        <w:t>温州市龙湾区永兴街道沙园村股份经济合作社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726440</wp:posOffset>
            </wp:positionH>
            <wp:positionV relativeFrom="paragraph">
              <wp:posOffset>217170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温州市龙湾区永兴街道沙园村股份经济合作社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BC2EFF1">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sz w:val="24"/>
          <w:szCs w:val="24"/>
          <w:highlight w:val="none"/>
          <w:lang w:val="en-US" w:eastAsia="zh-CN"/>
        </w:rPr>
        <w:t>装修</w:t>
      </w:r>
      <w:r>
        <w:rPr>
          <w:rFonts w:hint="eastAsia" w:ascii="宋体" w:hAnsi="宋体" w:eastAsia="宋体" w:cs="宋体"/>
          <w:sz w:val="24"/>
          <w:szCs w:val="24"/>
          <w:highlight w:val="none"/>
          <w:lang w:val="en-US" w:eastAsia="zh-CN"/>
        </w:rPr>
        <w:t>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30</w:t>
      </w:r>
      <w:r>
        <w:rPr>
          <w:rFonts w:hint="eastAsia" w:ascii="宋体" w:hAnsi="宋体" w:cs="宋体"/>
          <w:sz w:val="24"/>
          <w:szCs w:val="24"/>
          <w:highlight w:val="none"/>
          <w:lang w:val="en-US" w:eastAsia="zh-CN"/>
        </w:rPr>
        <w:t>日</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年   月  日至   年   月   日止</w:t>
      </w:r>
      <w:r>
        <w:rPr>
          <w:rFonts w:hint="eastAsia" w:ascii="宋体" w:hAnsi="宋体" w:eastAsia="宋体" w:cs="宋体"/>
          <w:sz w:val="24"/>
          <w:szCs w:val="24"/>
          <w:highlight w:val="non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rPr>
        <w:t>年，自</w:t>
      </w:r>
      <w:r>
        <w:rPr>
          <w:rFonts w:hint="eastAsia" w:ascii="宋体" w:hAnsi="宋体" w:cs="宋体"/>
          <w:color w:val="auto"/>
          <w:szCs w:val="24"/>
          <w:u w:val="single"/>
        </w:rPr>
        <w:t xml:space="preserve">   年   月  日至   年 </w:t>
      </w:r>
      <w:r>
        <w:rPr>
          <w:rFonts w:hint="eastAsia" w:ascii="宋体" w:hAnsi="宋体" w:cs="宋体"/>
          <w:color w:val="auto"/>
          <w:szCs w:val="24"/>
          <w:u w:val="single"/>
          <w:lang w:val="en-US" w:eastAsia="zh-CN"/>
        </w:rPr>
        <w:t xml:space="preserve"> </w:t>
      </w:r>
      <w:r>
        <w:rPr>
          <w:rFonts w:hint="eastAsia" w:ascii="宋体" w:hAnsi="宋体" w:cs="宋体"/>
          <w:color w:val="auto"/>
          <w:szCs w:val="24"/>
          <w:u w:val="single"/>
        </w:rPr>
        <w:t xml:space="preserve"> 月</w:t>
      </w:r>
      <w:r>
        <w:rPr>
          <w:rFonts w:hint="eastAsia" w:ascii="宋体" w:hAnsi="宋体" w:cs="宋体"/>
          <w:color w:val="auto"/>
          <w:szCs w:val="24"/>
          <w:u w:val="single"/>
          <w:lang w:val="en-US" w:eastAsia="zh-CN"/>
        </w:rPr>
        <w:t xml:space="preserve"> </w:t>
      </w:r>
      <w:r>
        <w:rPr>
          <w:rFonts w:hint="eastAsia" w:ascii="宋体" w:hAnsi="宋体" w:cs="宋体"/>
          <w:color w:val="auto"/>
          <w:szCs w:val="24"/>
          <w:u w:val="single"/>
        </w:rPr>
        <w:t xml:space="preserve">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1C6BAEC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6178E61">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6.</w:t>
      </w:r>
      <w:r>
        <w:rPr>
          <w:rFonts w:hint="eastAsia" w:ascii="宋体" w:hAnsi="宋体" w:cs="宋体"/>
          <w:b/>
          <w:bCs/>
          <w:color w:val="auto"/>
          <w:szCs w:val="24"/>
          <w:highlight w:val="none"/>
          <w:u w:val="single"/>
          <w:lang w:val="en-US" w:eastAsia="zh-CN"/>
        </w:rPr>
        <w:t>租期5年，第1-3年租金不变，第4-5年在第3年租金的基础上递增2%，租金（不含税）一年一付，先付后用；</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沙园村万安家园</w:t>
      </w:r>
      <w:r>
        <w:rPr>
          <w:rFonts w:hint="eastAsia" w:ascii="宋体" w:hAnsi="宋体" w:cs="Times New Roman"/>
          <w:b/>
          <w:bCs/>
          <w:color w:val="auto"/>
          <w:sz w:val="24"/>
          <w:szCs w:val="24"/>
          <w:highlight w:val="none"/>
          <w:u w:val="single"/>
          <w:lang w:val="en-US" w:eastAsia="zh-CN"/>
        </w:rPr>
        <w:t>租赁项目</w:t>
      </w:r>
      <w:r>
        <w:rPr>
          <w:rFonts w:hint="eastAsia" w:ascii="宋体" w:hAnsi="宋体" w:eastAsia="宋体" w:cs="Times New Roman"/>
          <w:b/>
          <w:bCs/>
          <w:color w:val="auto"/>
          <w:sz w:val="24"/>
          <w:szCs w:val="24"/>
          <w:highlight w:val="none"/>
          <w:u w:val="singl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-2385060</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0314AEFB">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360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C22BB7"/>
    <w:multiLevelType w:val="singleLevel"/>
    <w:tmpl w:val="DDC22BB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27125E7"/>
    <w:rsid w:val="03565032"/>
    <w:rsid w:val="038349CC"/>
    <w:rsid w:val="053F4826"/>
    <w:rsid w:val="05773E49"/>
    <w:rsid w:val="06092268"/>
    <w:rsid w:val="07BD7186"/>
    <w:rsid w:val="0B57681E"/>
    <w:rsid w:val="0DC36562"/>
    <w:rsid w:val="0FFC1742"/>
    <w:rsid w:val="137A57A0"/>
    <w:rsid w:val="137F6218"/>
    <w:rsid w:val="145C30F7"/>
    <w:rsid w:val="15316332"/>
    <w:rsid w:val="1797031B"/>
    <w:rsid w:val="180F7322"/>
    <w:rsid w:val="181B7855"/>
    <w:rsid w:val="18B67897"/>
    <w:rsid w:val="1B43776B"/>
    <w:rsid w:val="1B871827"/>
    <w:rsid w:val="1C084587"/>
    <w:rsid w:val="1C1E1BAB"/>
    <w:rsid w:val="1CB03DF7"/>
    <w:rsid w:val="1EF82139"/>
    <w:rsid w:val="1FB0010B"/>
    <w:rsid w:val="2083256A"/>
    <w:rsid w:val="209061C6"/>
    <w:rsid w:val="20CD2A7D"/>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8AE44D8"/>
    <w:rsid w:val="3957222B"/>
    <w:rsid w:val="3A034EA8"/>
    <w:rsid w:val="3D8C2FA1"/>
    <w:rsid w:val="3DEC4B39"/>
    <w:rsid w:val="3ECD12EB"/>
    <w:rsid w:val="405A7C3B"/>
    <w:rsid w:val="44727C49"/>
    <w:rsid w:val="46CF2C6D"/>
    <w:rsid w:val="46F52BC5"/>
    <w:rsid w:val="48992B03"/>
    <w:rsid w:val="491D1E84"/>
    <w:rsid w:val="49473A13"/>
    <w:rsid w:val="4B653631"/>
    <w:rsid w:val="4B7D3443"/>
    <w:rsid w:val="4E4B5067"/>
    <w:rsid w:val="4E6F4B7C"/>
    <w:rsid w:val="4E7E7CA6"/>
    <w:rsid w:val="4E8314AE"/>
    <w:rsid w:val="4F7F76BE"/>
    <w:rsid w:val="4F894E59"/>
    <w:rsid w:val="4FD57E9D"/>
    <w:rsid w:val="502344EE"/>
    <w:rsid w:val="52044E70"/>
    <w:rsid w:val="54113319"/>
    <w:rsid w:val="542030F8"/>
    <w:rsid w:val="5431559E"/>
    <w:rsid w:val="548C0FD9"/>
    <w:rsid w:val="54971006"/>
    <w:rsid w:val="55631913"/>
    <w:rsid w:val="55832C1B"/>
    <w:rsid w:val="56731069"/>
    <w:rsid w:val="5943350B"/>
    <w:rsid w:val="594A0FC2"/>
    <w:rsid w:val="5A3D43FE"/>
    <w:rsid w:val="5A7B6781"/>
    <w:rsid w:val="5B3663E0"/>
    <w:rsid w:val="5C591901"/>
    <w:rsid w:val="5C616110"/>
    <w:rsid w:val="5CB57990"/>
    <w:rsid w:val="5FDC6467"/>
    <w:rsid w:val="61B52ACC"/>
    <w:rsid w:val="61BB7F58"/>
    <w:rsid w:val="624714FE"/>
    <w:rsid w:val="6303010E"/>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11431</Words>
  <Characters>11750</Characters>
  <Lines>0</Lines>
  <Paragraphs>0</Paragraphs>
  <TotalTime>7</TotalTime>
  <ScaleCrop>false</ScaleCrop>
  <LinksUpToDate>false</LinksUpToDate>
  <CharactersWithSpaces>12985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2025-08-19T07:22:57Z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445DC4EE0C1F429CBBC03183282D6FF2_13</vt:lpwstr>
  </property>
  <property fmtid="{D5CDD505-2E9C-101B-9397-08002B2CF9AE}" pid="4" name="KSOTemplateDocerSaveRecord">
    <vt:lpwstr>eyJoZGlkIjoiNzYzNDZhZmRmZjM0NWUxNmJiOWFiNDI5YTEzYzUxNmEiLCJ1c2VySWQiOiIxNTk0MDAzNDA5In0=</vt:lpwstr>
  </property>
</Properties>
</file>