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500630">
      <w:pPr>
        <w:jc w:val="center"/>
        <w:rPr>
          <w:rFonts w:hint="eastAsia" w:ascii="宋体" w:hAnsi="宋体" w:cs="宋体"/>
          <w:b/>
          <w:bCs/>
          <w:color w:val="000000" w:themeColor="text1"/>
          <w:sz w:val="36"/>
          <w:szCs w:val="36"/>
          <w:highlight w:val="none"/>
          <w:u w:val="none"/>
          <w:lang w:val="en-US" w:eastAsia="zh-CN"/>
          <w14:textFill>
            <w14:solidFill>
              <w14:schemeClr w14:val="tx1"/>
            </w14:solidFill>
          </w14:textFill>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温州市龙湾区瑶溪街道河头龙西路4号东首五年租赁权</w:t>
      </w:r>
    </w:p>
    <w:p w14:paraId="77DA8B3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7F53B19A">
      <w:pPr>
        <w:jc w:val="both"/>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4BBC8B2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1078A48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B0F680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2025年10月31日 </w:t>
      </w:r>
    </w:p>
    <w:p w14:paraId="236CB1E2">
      <w:pPr>
        <w:keepNext w:val="0"/>
        <w:keepLines w:val="0"/>
        <w:pageBreakBefore w:val="0"/>
        <w:widowControl w:val="0"/>
        <w:kinsoku/>
        <w:wordWrap/>
        <w:overflowPunct/>
        <w:topLinePunct w:val="0"/>
        <w:autoSpaceDE/>
        <w:autoSpaceDN/>
        <w:bidi w:val="0"/>
        <w:spacing w:line="360" w:lineRule="auto"/>
        <w:ind w:right="-92" w:rightChars="-44"/>
        <w:jc w:val="both"/>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6C98E16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8125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highlight w:val="none"/>
          <w:u w:val="none"/>
          <w:lang w:val="en-US" w:eastAsia="zh-CN"/>
          <w14:textFill>
            <w14:solidFill>
              <w14:schemeClr w14:val="tx1"/>
            </w14:solidFill>
          </w14:textFill>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温州市龙湾区瑶溪街道河头龙西路4号东首五年租赁权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highlight w:val="none"/>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竞</w:t>
      </w:r>
      <w:r>
        <w:rPr>
          <w:rFonts w:hint="eastAsia" w:ascii="宋体" w:hAnsi="宋体"/>
          <w:b/>
          <w:color w:val="auto"/>
          <w:spacing w:val="-6"/>
          <w:sz w:val="36"/>
          <w:szCs w:val="36"/>
          <w:highlight w:val="none"/>
          <w:lang w:val="en-US" w:eastAsia="zh-CN"/>
        </w:rPr>
        <w:t>价</w:t>
      </w:r>
      <w:r>
        <w:rPr>
          <w:rFonts w:hint="eastAsia" w:ascii="宋体" w:hAnsi="宋体"/>
          <w:b/>
          <w:color w:val="auto"/>
          <w:spacing w:val="-6"/>
          <w:sz w:val="36"/>
          <w:szCs w:val="36"/>
          <w:highlight w:val="none"/>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highlight w:val="none"/>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highlight w:val="none"/>
          <w:u w:val="none"/>
        </w:rPr>
        <w:t>2025年</w:t>
      </w:r>
      <w:r>
        <w:rPr>
          <w:rFonts w:hint="eastAsia" w:ascii="宋体" w:hAnsi="宋体"/>
          <w:color w:val="auto"/>
          <w:sz w:val="24"/>
          <w:szCs w:val="24"/>
          <w:highlight w:val="none"/>
          <w:u w:val="none"/>
          <w:lang w:val="en-US" w:eastAsia="zh-CN"/>
        </w:rPr>
        <w:t>11月10日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2025年11月11日上午9</w:t>
      </w:r>
      <w:r>
        <w:rPr>
          <w:rFonts w:hint="eastAsia" w:ascii="宋体" w:hAnsi="宋体"/>
          <w:color w:val="auto"/>
          <w:sz w:val="24"/>
          <w:szCs w:val="24"/>
          <w:highlight w:val="none"/>
          <w:u w:val="none"/>
        </w:rPr>
        <w:t>时（延时的除外），在农交云数字平台（网址：http://www.nongjy.cn），对</w:t>
      </w:r>
      <w:r>
        <w:rPr>
          <w:rFonts w:hint="eastAsia" w:ascii="宋体" w:hAnsi="宋体"/>
          <w:color w:val="auto"/>
          <w:sz w:val="24"/>
          <w:szCs w:val="24"/>
          <w:highlight w:val="none"/>
          <w:u w:val="none"/>
          <w:lang w:val="en-US" w:eastAsia="zh-CN"/>
        </w:rPr>
        <w:t>温州市龙湾区瑶溪街道河头龙西路4号东首</w:t>
      </w:r>
      <w:r>
        <w:rPr>
          <w:rFonts w:hint="eastAsia" w:ascii="宋体" w:hAnsi="宋体"/>
          <w:color w:val="auto"/>
          <w:sz w:val="24"/>
          <w:szCs w:val="24"/>
          <w:highlight w:val="none"/>
          <w:u w:val="none"/>
          <w:lang w:eastAsia="zh-CN"/>
        </w:rPr>
        <w:t>五年租赁权</w:t>
      </w:r>
      <w:r>
        <w:rPr>
          <w:rFonts w:hint="eastAsia" w:ascii="宋体" w:hAnsi="宋体"/>
          <w:color w:val="auto"/>
          <w:sz w:val="24"/>
          <w:szCs w:val="24"/>
          <w:highlight w:val="none"/>
          <w:u w:val="none"/>
        </w:rPr>
        <w:t>进行增价式公开竞价，具体竞价事宜详见《竞价协议》及《租赁合同》（样本）等相关文件</w:t>
      </w:r>
      <w:r>
        <w:rPr>
          <w:rFonts w:hint="eastAsia" w:ascii="宋体" w:hAnsi="宋体" w:cs="宋体"/>
          <w:bCs/>
          <w:color w:val="auto"/>
          <w:sz w:val="24"/>
          <w:szCs w:val="24"/>
          <w:highlight w:val="none"/>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5"/>
        <w:gridCol w:w="4368"/>
        <w:gridCol w:w="1300"/>
        <w:gridCol w:w="1365"/>
        <w:gridCol w:w="1495"/>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7"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编号</w:t>
            </w:r>
          </w:p>
        </w:tc>
        <w:tc>
          <w:tcPr>
            <w:tcW w:w="2353"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标的概况</w:t>
            </w:r>
          </w:p>
        </w:tc>
        <w:tc>
          <w:tcPr>
            <w:tcW w:w="70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面积</w:t>
            </w:r>
          </w:p>
        </w:tc>
        <w:tc>
          <w:tcPr>
            <w:tcW w:w="735" w:type="pct"/>
            <w:tcBorders>
              <w:right w:val="single" w:color="auto" w:sz="4" w:space="0"/>
            </w:tcBorders>
            <w:noWrap w:val="0"/>
            <w:vAlign w:val="center"/>
          </w:tcPr>
          <w:p w14:paraId="60DD75DC">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08B8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802" w:type="pct"/>
            <w:tcBorders>
              <w:right w:val="single" w:color="auto" w:sz="4" w:space="0"/>
            </w:tcBorders>
            <w:noWrap w:val="0"/>
            <w:vAlign w:val="center"/>
          </w:tcPr>
          <w:p w14:paraId="13516EC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FDC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jc w:val="center"/>
        </w:trPr>
        <w:tc>
          <w:tcPr>
            <w:tcW w:w="407"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2353"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温州市龙湾区瑶溪街道河头龙西路4号东首一楼3间及二楼整层五年租赁权</w:t>
            </w:r>
          </w:p>
        </w:tc>
        <w:tc>
          <w:tcPr>
            <w:tcW w:w="700"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735"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37646</w:t>
            </w:r>
            <w:r>
              <w:rPr>
                <w:rFonts w:hint="eastAsia" w:asciiTheme="minorEastAsia" w:hAnsiTheme="minorEastAsia" w:eastAsiaTheme="minorEastAsia" w:cstheme="minorEastAsia"/>
                <w:bCs/>
                <w:sz w:val="24"/>
                <w:szCs w:val="24"/>
                <w:highlight w:val="none"/>
                <w:lang w:val="en-US" w:eastAsia="zh-CN"/>
              </w:rPr>
              <w:t>元</w:t>
            </w:r>
          </w:p>
        </w:tc>
        <w:tc>
          <w:tcPr>
            <w:tcW w:w="80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3万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6" w:hRule="atLeast"/>
          <w:jc w:val="center"/>
        </w:trPr>
        <w:tc>
          <w:tcPr>
            <w:tcW w:w="5000" w:type="pct"/>
            <w:gridSpan w:val="5"/>
            <w:tcBorders>
              <w:left w:val="single" w:color="auto" w:sz="4" w:space="0"/>
              <w:right w:val="single" w:color="auto" w:sz="4" w:space="0"/>
            </w:tcBorders>
            <w:noWrap w:val="0"/>
            <w:vAlign w:val="center"/>
          </w:tcPr>
          <w:p w14:paraId="13B2ECA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3F43ED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28D5A1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highlight w:val="yellow"/>
                <w:lang w:val="en-US" w:eastAsia="zh-CN" w:bidi="ar-SA"/>
              </w:rPr>
            </w:pPr>
            <w:r>
              <w:rPr>
                <w:rFonts w:hint="eastAsia" w:ascii="宋体" w:hAnsi="宋体" w:cs="宋体"/>
                <w:bCs/>
                <w:kern w:val="2"/>
                <w:sz w:val="24"/>
                <w:szCs w:val="24"/>
                <w:highlight w:val="none"/>
                <w:lang w:val="en-US" w:eastAsia="zh-CN" w:bidi="ar"/>
              </w:rPr>
              <w:t>3.</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262255</wp:posOffset>
            </wp:positionH>
            <wp:positionV relativeFrom="paragraph">
              <wp:posOffset>-3688715</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w:t>
      </w:r>
      <w:r>
        <w:rPr>
          <w:rFonts w:hint="eastAsia" w:ascii="宋体" w:hAnsi="宋体" w:cs="Times New Roman"/>
          <w:color w:val="auto"/>
          <w:sz w:val="24"/>
          <w:szCs w:val="24"/>
          <w:highlight w:val="none"/>
          <w:u w:val="none"/>
          <w:lang w:val="en-US" w:eastAsia="zh-CN"/>
        </w:rPr>
        <w:t>首年</w:t>
      </w:r>
      <w:r>
        <w:rPr>
          <w:rFonts w:hint="eastAsia" w:ascii="宋体" w:hAnsi="宋体" w:eastAsia="宋体" w:cs="Times New Roman"/>
          <w:color w:val="auto"/>
          <w:sz w:val="24"/>
          <w:szCs w:val="24"/>
          <w:highlight w:val="none"/>
          <w:u w:val="none"/>
          <w:lang w:val="en-US" w:eastAsia="zh-CN"/>
        </w:rPr>
        <w:t>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w:t>
      </w:r>
      <w:r>
        <w:rPr>
          <w:rFonts w:hint="eastAsia" w:ascii="宋体" w:hAnsi="宋体" w:cs="Times New Roman"/>
          <w:b/>
          <w:bCs/>
          <w:color w:val="auto"/>
          <w:sz w:val="24"/>
          <w:szCs w:val="24"/>
          <w:highlight w:val="none"/>
          <w:u w:val="none"/>
          <w:lang w:val="en-US" w:eastAsia="zh-CN"/>
        </w:rPr>
        <w:t>不得代缴，</w:t>
      </w:r>
      <w:r>
        <w:rPr>
          <w:rFonts w:hint="eastAsia" w:ascii="宋体" w:hAnsi="宋体" w:eastAsia="宋体" w:cs="Times New Roman"/>
          <w:b/>
          <w:bCs/>
          <w:color w:val="auto"/>
          <w:sz w:val="24"/>
          <w:szCs w:val="24"/>
          <w:highlight w:val="none"/>
          <w:u w:val="none"/>
          <w:lang w:val="en-US" w:eastAsia="zh-CN"/>
        </w:rPr>
        <w:t>汇入时请备注：</w:t>
      </w:r>
      <w:bookmarkStart w:id="1" w:name="_GoBack"/>
      <w:bookmarkEnd w:id="1"/>
      <w:r>
        <w:rPr>
          <w:rFonts w:hint="eastAsia" w:ascii="宋体" w:hAnsi="宋体" w:cs="Times New Roman"/>
          <w:b/>
          <w:bCs/>
          <w:color w:val="auto"/>
          <w:sz w:val="24"/>
          <w:szCs w:val="24"/>
          <w:highlight w:val="none"/>
          <w:u w:val="none"/>
          <w:lang w:val="en-US" w:eastAsia="zh-CN"/>
        </w:rPr>
        <w:t>河头龙西路租</w:t>
      </w:r>
      <w:r>
        <w:rPr>
          <w:rFonts w:hint="eastAsia" w:ascii="宋体" w:hAnsi="宋体" w:eastAsia="宋体" w:cs="Times New Roman"/>
          <w:b/>
          <w:bCs/>
          <w:color w:val="auto"/>
          <w:sz w:val="24"/>
          <w:szCs w:val="24"/>
          <w:highlight w:val="none"/>
          <w:u w:val="none"/>
          <w:lang w:val="en-US" w:eastAsia="zh-CN"/>
        </w:rPr>
        <w:t>赁项目。</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267852AE">
      <w:pPr>
        <w:rPr>
          <w:rFonts w:hint="eastAsia"/>
          <w:highlight w:val="none"/>
          <w:lang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default"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温州市龙湾供销社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2025年10月31日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141605</wp:posOffset>
            </wp:positionH>
            <wp:positionV relativeFrom="paragraph">
              <wp:posOffset>-1462405</wp:posOffset>
            </wp:positionV>
            <wp:extent cx="5271770" cy="5833110"/>
            <wp:effectExtent l="0" t="0" r="5080" b="15240"/>
            <wp:wrapNone/>
            <wp:docPr id="24" name="图片 2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出租方</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2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2A20F10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7ED4B017">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p>
    <w:p w14:paraId="6C672CE4">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竞价出租方</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出租方</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w:t>
      </w:r>
      <w:r>
        <w:rPr>
          <w:rFonts w:hint="eastAsia"/>
          <w:color w:val="auto"/>
          <w:sz w:val="24"/>
          <w:szCs w:val="24"/>
          <w:highlight w:val="none"/>
          <w:lang w:val="en-US" w:eastAsia="zh-CN"/>
        </w:rPr>
        <w:t>所交竞价保证金自动转为违约金，竞得人无权要求返还，竞价保证金优先用于赔偿组织方的（预期）收入及其它费用损失，剩余部分则赔偿出租方损失（包括但不限于对出租方造成的租赁空档期等相关损失补偿）。</w:t>
      </w:r>
    </w:p>
    <w:p w14:paraId="460E8DED">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highlight w:val="none"/>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若撤销其竞价成交资格，所交竞价保证金不予退还，优先用于赔偿组织方的（预期）收入及其它费用损失，剩余部分则赔偿出租方损失（包括但不限于对出租方造成的租赁空档期等相关损失补偿）。</w:t>
      </w:r>
    </w:p>
    <w:p w14:paraId="624414B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141605</wp:posOffset>
            </wp:positionH>
            <wp:positionV relativeFrom="paragraph">
              <wp:posOffset>-2125345</wp:posOffset>
            </wp:positionV>
            <wp:extent cx="5271770" cy="5833110"/>
            <wp:effectExtent l="0" t="0" r="5080" b="15240"/>
            <wp:wrapNone/>
            <wp:docPr id="28"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出租方</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5C175B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textAlignment w:val="auto"/>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A47CE9D">
      <w:pPr>
        <w:keepNext w:val="0"/>
        <w:keepLines w:val="0"/>
        <w:pageBreakBefore w:val="0"/>
        <w:widowControl w:val="0"/>
        <w:kinsoku/>
        <w:wordWrap/>
        <w:overflowPunct/>
        <w:topLinePunct w:val="0"/>
        <w:autoSpaceDE/>
        <w:autoSpaceDN/>
        <w:bidi w:val="0"/>
        <w:snapToGrid/>
        <w:spacing w:line="420" w:lineRule="exact"/>
        <w:ind w:right="69" w:rightChars="33" w:firstLine="480" w:firstLineChars="200"/>
        <w:textAlignment w:val="auto"/>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2025年10月31日</w:t>
      </w:r>
    </w:p>
    <w:p w14:paraId="33BDF0A2">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278765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2.55pt;margin-top:21.95pt;height:78.3pt;width:461.4pt;z-index:251663360;mso-width-relative:page;mso-height-relative:page;" fillcolor="#FFFFFF" filled="t" stroked="t" coordsize="21600,21600" o:gfxdata="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Mp3C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405FB3F">
      <w:pPr>
        <w:spacing w:line="480" w:lineRule="exact"/>
        <w:jc w:val="right"/>
        <w:textAlignment w:val="baseline"/>
        <w:rPr>
          <w:rFonts w:hint="eastAsia"/>
          <w:color w:val="auto"/>
          <w:sz w:val="24"/>
          <w:szCs w:val="24"/>
          <w:highlight w:val="none"/>
          <w:lang w:val="en-US" w:eastAsia="zh-CN"/>
        </w:rPr>
      </w:pPr>
    </w:p>
    <w:p w14:paraId="1CC896C0">
      <w:pPr>
        <w:spacing w:line="480" w:lineRule="exact"/>
        <w:jc w:val="right"/>
        <w:textAlignment w:val="baseline"/>
        <w:rPr>
          <w:rFonts w:hint="eastAsia"/>
          <w:color w:val="auto"/>
          <w:sz w:val="24"/>
          <w:szCs w:val="24"/>
          <w:highlight w:val="none"/>
          <w:lang w:val="en-US" w:eastAsia="zh-CN"/>
        </w:rPr>
      </w:pPr>
    </w:p>
    <w:p w14:paraId="4E3077F9">
      <w:pPr>
        <w:spacing w:line="480" w:lineRule="exact"/>
        <w:jc w:val="right"/>
        <w:textAlignment w:val="baseline"/>
        <w:rPr>
          <w:rFonts w:hint="eastAsia"/>
          <w:color w:val="auto"/>
          <w:sz w:val="24"/>
          <w:szCs w:val="24"/>
          <w:highlight w:val="none"/>
          <w:lang w:val="en-US" w:eastAsia="zh-CN"/>
        </w:rPr>
      </w:pPr>
    </w:p>
    <w:p w14:paraId="4C70F2AD">
      <w:pPr>
        <w:spacing w:line="480" w:lineRule="exact"/>
        <w:jc w:val="right"/>
        <w:textAlignment w:val="baseline"/>
        <w:rPr>
          <w:rFonts w:hint="eastAsia"/>
          <w:color w:val="auto"/>
          <w:sz w:val="24"/>
          <w:szCs w:val="24"/>
          <w:highlight w:val="none"/>
          <w:lang w:val="en-US" w:eastAsia="zh-CN"/>
        </w:rPr>
      </w:pPr>
    </w:p>
    <w:p w14:paraId="5CF2D489">
      <w:pPr>
        <w:spacing w:line="480" w:lineRule="exact"/>
        <w:jc w:val="right"/>
        <w:textAlignment w:val="baseline"/>
        <w:rPr>
          <w:rFonts w:hint="eastAsia"/>
        </w:rPr>
      </w:pPr>
      <w:r>
        <w:rPr>
          <w:rFonts w:hint="eastAsia"/>
          <w:color w:val="auto"/>
          <w:sz w:val="24"/>
          <w:szCs w:val="24"/>
          <w:highlight w:val="none"/>
          <w:lang w:val="en-US" w:eastAsia="zh-CN"/>
        </w:rPr>
        <w:tab/>
      </w: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w:t>
      </w:r>
      <w:r>
        <w:rPr>
          <w:rFonts w:hint="eastAsia"/>
          <w:color w:val="auto"/>
          <w:sz w:val="24"/>
          <w:szCs w:val="24"/>
          <w:highlight w:val="none"/>
          <w:lang w:eastAsia="zh-CN"/>
        </w:rPr>
        <w:t>出租方</w:t>
      </w:r>
      <w:r>
        <w:rPr>
          <w:rFonts w:hint="eastAsia"/>
          <w:color w:val="auto"/>
          <w:sz w:val="24"/>
          <w:szCs w:val="24"/>
          <w:highlight w:val="none"/>
        </w:rPr>
        <w:t>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11月10日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429E717D">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right="0" w:rightChars="0" w:firstLine="442" w:firstLineChars="100"/>
        <w:jc w:val="both"/>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255270</wp:posOffset>
            </wp:positionH>
            <wp:positionV relativeFrom="paragraph">
              <wp:posOffset>144145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highlight w:val="none"/>
          <w:lang w:val="en-US" w:eastAsia="zh-CN" w:bidi="ar"/>
        </w:rPr>
        <w:t>202</w:t>
      </w:r>
      <w:r>
        <w:rPr>
          <w:rFonts w:hint="eastAsia" w:ascii="Times New Roman" w:hAnsi="Times New Roman" w:eastAsia="宋体" w:cs="Times New Roman"/>
          <w:kern w:val="2"/>
          <w:sz w:val="24"/>
          <w:szCs w:val="24"/>
          <w:highlight w:val="none"/>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出租方</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温州市龙湾供销社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4407"/>
        <w:gridCol w:w="1156"/>
        <w:gridCol w:w="1352"/>
        <w:gridCol w:w="1669"/>
      </w:tblGrid>
      <w:tr w14:paraId="662E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699" w:type="dxa"/>
            <w:tcBorders>
              <w:left w:val="single" w:color="auto" w:sz="4" w:space="0"/>
            </w:tcBorders>
            <w:noWrap w:val="0"/>
            <w:vAlign w:val="center"/>
          </w:tcPr>
          <w:p w14:paraId="7BDDD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6F3EB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highlight w:val="none"/>
                <w:lang w:val="en-US" w:eastAsia="zh-CN"/>
              </w:rPr>
              <w:t>编号</w:t>
            </w:r>
          </w:p>
        </w:tc>
        <w:tc>
          <w:tcPr>
            <w:tcW w:w="4407" w:type="dxa"/>
            <w:noWrap w:val="0"/>
            <w:vAlign w:val="center"/>
          </w:tcPr>
          <w:p w14:paraId="7FAC9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highlight w:val="none"/>
                <w:lang w:val="en-US" w:eastAsia="zh-CN"/>
              </w:rPr>
              <w:t>标的概况</w:t>
            </w:r>
          </w:p>
        </w:tc>
        <w:tc>
          <w:tcPr>
            <w:tcW w:w="1156" w:type="dxa"/>
            <w:noWrap w:val="0"/>
            <w:vAlign w:val="center"/>
          </w:tcPr>
          <w:p w14:paraId="41DFE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highlight w:val="none"/>
              </w:rPr>
              <w:t>面积</w:t>
            </w:r>
          </w:p>
        </w:tc>
        <w:tc>
          <w:tcPr>
            <w:tcW w:w="1352" w:type="dxa"/>
            <w:tcBorders>
              <w:right w:val="single" w:color="auto" w:sz="4" w:space="0"/>
            </w:tcBorders>
            <w:noWrap w:val="0"/>
            <w:vAlign w:val="center"/>
          </w:tcPr>
          <w:p w14:paraId="461635A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4EF7F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1669" w:type="dxa"/>
            <w:tcBorders>
              <w:right w:val="single" w:color="auto" w:sz="4" w:space="0"/>
            </w:tcBorders>
            <w:noWrap w:val="0"/>
            <w:vAlign w:val="center"/>
          </w:tcPr>
          <w:p w14:paraId="2921E6B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6DC5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bCs w:val="0"/>
                <w:color w:val="000000"/>
                <w:kern w:val="2"/>
                <w:sz w:val="24"/>
                <w:szCs w:val="24"/>
                <w:highlight w:val="none"/>
                <w:lang w:val="en-US" w:eastAsia="zh-CN" w:bidi="ar"/>
              </w:rPr>
              <w:t>保证金</w:t>
            </w:r>
          </w:p>
        </w:tc>
      </w:tr>
      <w:tr w14:paraId="4A170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699" w:type="dxa"/>
            <w:tcBorders>
              <w:left w:val="single" w:color="auto" w:sz="4" w:space="0"/>
            </w:tcBorders>
            <w:noWrap w:val="0"/>
            <w:vAlign w:val="center"/>
          </w:tcPr>
          <w:p w14:paraId="3A2F6D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4407" w:type="dxa"/>
            <w:noWrap w:val="0"/>
            <w:vAlign w:val="center"/>
          </w:tcPr>
          <w:p w14:paraId="7B453D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温州市龙湾区瑶溪街道河头龙西路4号东首一楼3间及二楼整层五年租赁权</w:t>
            </w:r>
          </w:p>
        </w:tc>
        <w:tc>
          <w:tcPr>
            <w:tcW w:w="1156" w:type="dxa"/>
            <w:noWrap w:val="0"/>
            <w:vAlign w:val="center"/>
          </w:tcPr>
          <w:p w14:paraId="1D6C4A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1352" w:type="dxa"/>
            <w:tcBorders>
              <w:right w:val="single" w:color="auto" w:sz="4" w:space="0"/>
            </w:tcBorders>
            <w:noWrap w:val="0"/>
            <w:vAlign w:val="center"/>
          </w:tcPr>
          <w:p w14:paraId="1BA9C0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37646</w:t>
            </w:r>
            <w:r>
              <w:rPr>
                <w:rFonts w:hint="eastAsia" w:asciiTheme="minorEastAsia" w:hAnsiTheme="minorEastAsia" w:eastAsiaTheme="minorEastAsia" w:cstheme="minorEastAsia"/>
                <w:bCs/>
                <w:sz w:val="24"/>
                <w:szCs w:val="24"/>
                <w:highlight w:val="none"/>
                <w:lang w:val="en-US" w:eastAsia="zh-CN"/>
              </w:rPr>
              <w:t>元</w:t>
            </w:r>
          </w:p>
        </w:tc>
        <w:tc>
          <w:tcPr>
            <w:tcW w:w="1669" w:type="dxa"/>
            <w:tcBorders>
              <w:right w:val="single" w:color="auto" w:sz="4" w:space="0"/>
            </w:tcBorders>
            <w:noWrap w:val="0"/>
            <w:vAlign w:val="center"/>
          </w:tcPr>
          <w:p w14:paraId="1FBC33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3万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03F66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2" w:hRule="atLeast"/>
          <w:jc w:val="center"/>
        </w:trPr>
        <w:tc>
          <w:tcPr>
            <w:tcW w:w="9283" w:type="dxa"/>
            <w:gridSpan w:val="5"/>
            <w:tcBorders>
              <w:left w:val="single" w:color="auto" w:sz="4" w:space="0"/>
              <w:right w:val="single" w:color="auto" w:sz="4" w:space="0"/>
            </w:tcBorders>
            <w:noWrap w:val="0"/>
            <w:vAlign w:val="center"/>
          </w:tcPr>
          <w:p w14:paraId="5A625B0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15BD33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25199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w:t>
      </w:r>
      <w:r>
        <w:rPr>
          <w:rFonts w:hint="eastAsia" w:ascii="宋体" w:hAnsi="宋体" w:cs="宋体"/>
          <w:color w:val="auto"/>
          <w:sz w:val="24"/>
          <w:szCs w:val="24"/>
          <w:lang w:val="en-US" w:eastAsia="zh-CN"/>
        </w:rPr>
        <w:t>得</w:t>
      </w:r>
      <w:r>
        <w:rPr>
          <w:rFonts w:hint="eastAsia" w:ascii="宋体" w:hAnsi="宋体" w:eastAsia="宋体" w:cs="宋体"/>
          <w:color w:val="auto"/>
          <w:sz w:val="24"/>
          <w:szCs w:val="24"/>
          <w:lang w:val="en-US" w:eastAsia="zh-CN"/>
        </w:rPr>
        <w:t>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11C738D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B8D585B">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原承租人在同等条件下享有优先权，标的原承租人租赁合同于2025年11月1日到期。若原承租人成功竞得，则租期顺延。若原承租人未成功竞得的，须于1个月内腾空，腾空期不计租金及租期。若非原承租人竞得的，出租方按原承租人腾空后的现场现状移交给新承租人使用，租期从移交之日起开始计算。</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首年</w:t>
      </w:r>
      <w:r>
        <w:rPr>
          <w:rFonts w:hint="eastAsia" w:ascii="宋体" w:hAnsi="宋体" w:eastAsia="宋体" w:cs="宋体"/>
          <w:color w:val="auto"/>
          <w:sz w:val="24"/>
          <w:szCs w:val="24"/>
          <w:u w:val="single"/>
          <w:lang w:eastAsia="zh-CN"/>
        </w:rPr>
        <w:t>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66675</wp:posOffset>
            </wp:positionH>
            <wp:positionV relativeFrom="paragraph">
              <wp:posOffset>219075</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w:t>
            </w:r>
            <w:r>
              <w:rPr>
                <w:rFonts w:hint="eastAsia"/>
                <w:b w:val="0"/>
                <w:bCs w:val="0"/>
                <w:i w:val="0"/>
                <w:caps w:val="0"/>
                <w:color w:val="auto"/>
                <w:spacing w:val="0"/>
                <w:w w:val="100"/>
                <w:sz w:val="21"/>
                <w:highlight w:val="none"/>
                <w:lang w:eastAsia="zh-CN"/>
              </w:rPr>
              <w:t>年租金</w:t>
            </w:r>
            <w:r>
              <w:rPr>
                <w:rFonts w:hint="eastAsia"/>
                <w:b w:val="0"/>
                <w:bCs w:val="0"/>
                <w:i w:val="0"/>
                <w:caps w:val="0"/>
                <w:color w:val="auto"/>
                <w:spacing w:val="0"/>
                <w:w w:val="100"/>
                <w:sz w:val="21"/>
                <w:highlight w:val="none"/>
                <w:lang w:val="en-US" w:eastAsia="zh-CN"/>
              </w:rPr>
              <w:t>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43A8984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B42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348" w:type="dxa"/>
            <w:noWrap w:val="0"/>
            <w:vAlign w:val="center"/>
          </w:tcPr>
          <w:p w14:paraId="7193A20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6CDEB9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667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8" w:type="dxa"/>
            <w:noWrap w:val="0"/>
            <w:vAlign w:val="center"/>
          </w:tcPr>
          <w:p w14:paraId="609BDF38">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1CFC4E0">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494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48" w:type="dxa"/>
            <w:noWrap w:val="0"/>
            <w:vAlign w:val="center"/>
          </w:tcPr>
          <w:p w14:paraId="1D2BF3A3">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6BFD25F">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FB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551" w:type="dxa"/>
            <w:gridSpan w:val="2"/>
            <w:noWrap w:val="0"/>
            <w:vAlign w:val="center"/>
          </w:tcPr>
          <w:p w14:paraId="2C6C5EC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3、竞得人应在成交之日起30日内与出租方签订《租赁合同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出租方</w:t>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5、竞得人未经出租方书面同意，不得将租赁房产全部或部分转租。</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u w:val="single"/>
          <w:lang w:val="en-US" w:eastAsia="zh-CN"/>
        </w:rPr>
        <w:t>6</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5FA45C19">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315595</wp:posOffset>
            </wp:positionH>
            <wp:positionV relativeFrom="paragraph">
              <wp:posOffset>103505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highlight w:val="none"/>
          <w:u w:val="single"/>
          <w:lang w:val="en-US" w:eastAsia="zh-CN"/>
        </w:rPr>
        <w:t>7</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b w:val="0"/>
          <w:bCs w:val="0"/>
          <w:color w:val="auto"/>
          <w:sz w:val="24"/>
          <w:szCs w:val="24"/>
          <w:highlight w:val="none"/>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有权在竞价开始前撤回竞价标的。若因</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2025年10月31日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47625</wp:posOffset>
                </wp:positionV>
                <wp:extent cx="5859780" cy="937895"/>
                <wp:effectExtent l="4445" t="4445" r="22225" b="10160"/>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3.4pt;margin-top:3.75pt;height:73.85pt;width:461.4pt;z-index:251664384;mso-width-relative:page;mso-height-relative:page;" filled="f" stroked="t" coordsize="21600,21600" o:gfxdata="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ExVNH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w:t>
                      </w:r>
                      <w:r>
                        <w:rPr>
                          <w:rFonts w:hint="eastAsia" w:ascii="宋体" w:hAnsi="宋体"/>
                          <w:b/>
                          <w:color w:val="000000"/>
                          <w:sz w:val="24"/>
                          <w:lang w:eastAsia="zh-CN"/>
                        </w:rPr>
                        <w:t>年  月  日</w:t>
                      </w:r>
                    </w:p>
                  </w:txbxContent>
                </v:textbox>
              </v:shape>
            </w:pict>
          </mc:Fallback>
        </mc:AlternateContent>
      </w:r>
    </w:p>
    <w:p w14:paraId="283FE96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11月10日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租期5年，第1-3年租金不变，第4-5年租金在第3年租金的基础上递增1%，租金（不含税）一年一付，先付后用。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11月17日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宋体"/>
          <w:color w:val="auto"/>
          <w:sz w:val="24"/>
          <w:szCs w:val="24"/>
          <w:highlight w:val="none"/>
          <w:u w:val="none"/>
          <w:lang w:val="en-US" w:eastAsia="zh-CN"/>
        </w:rPr>
        <w:t>首年</w:t>
      </w:r>
      <w:r>
        <w:rPr>
          <w:rFonts w:hint="eastAsia" w:ascii="宋体" w:hAnsi="宋体" w:eastAsia="宋体" w:cs="宋体"/>
          <w:color w:val="auto"/>
          <w:sz w:val="24"/>
          <w:szCs w:val="24"/>
          <w:highlight w:val="none"/>
          <w:u w:val="none"/>
          <w:lang w:eastAsia="zh-CN"/>
        </w:rPr>
        <w:t>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首年</w:t>
      </w:r>
      <w:r>
        <w:rPr>
          <w:rFonts w:hint="eastAsia" w:ascii="宋体" w:hAnsi="宋体" w:eastAsia="宋体"/>
          <w:color w:val="auto"/>
          <w:sz w:val="24"/>
          <w:highlight w:val="none"/>
          <w:lang w:eastAsia="zh-CN"/>
        </w:rPr>
        <w:t>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具体租赁事项以竞得人与温州市龙湾区供销合作社联合社社有资产营运管理有限公司</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出租方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2025年11月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97C7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7F2153C3">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w:t>
      </w:r>
      <w:r>
        <w:rPr>
          <w:rFonts w:hint="eastAsia" w:ascii="宋体" w:hAnsi="宋体" w:cs="宋体"/>
          <w:color w:val="auto"/>
          <w:szCs w:val="24"/>
          <w:highlight w:val="none"/>
        </w:rPr>
        <w:t>修期为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日止</w:t>
      </w:r>
      <w:r>
        <w:rPr>
          <w:rFonts w:hint="eastAsia" w:ascii="宋体" w:hAnsi="宋体" w:cs="宋体"/>
          <w:color w:val="auto"/>
          <w:szCs w:val="24"/>
          <w:highlight w:val="none"/>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B83E3F3">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2B0E43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68BBDA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ECB317B">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7222724">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1F8772">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为竞价成交价</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1</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eastAsia="宋体" w:cs="宋体"/>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506095</wp:posOffset>
            </wp:positionH>
            <wp:positionV relativeFrom="paragraph">
              <wp:posOffset>277495</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highlight w:val="none"/>
        </w:rPr>
      </w:pPr>
      <w:r>
        <w:rPr>
          <w:rFonts w:hint="eastAsia" w:ascii="宋体" w:hAnsi="宋体" w:cs="宋体"/>
          <w:sz w:val="24"/>
          <w:szCs w:val="24"/>
        </w:rPr>
        <w:t>（十二）</w:t>
      </w:r>
      <w:r>
        <w:rPr>
          <w:rFonts w:hint="eastAsia" w:ascii="宋体" w:hAnsi="宋体" w:cs="宋体"/>
          <w:sz w:val="24"/>
          <w:szCs w:val="24"/>
          <w:highlight w:val="none"/>
          <w:lang w:val="en-US" w:eastAsia="zh-CN"/>
        </w:rPr>
        <w:t>租赁期间，有关该房产的消防、人身、食品等一切安全问题概由乙方负责，若给甲方及第三方造成损失的，乙方负责赔偿。若造成甲方垫付责任的，甲方有权向乙方追偿权。甲乙双方必须签订房产租赁消防安全责任书，并严格履行</w:t>
      </w:r>
      <w:r>
        <w:rPr>
          <w:rFonts w:hint="eastAsia" w:ascii="宋体" w:hAnsi="宋体" w:cs="宋体"/>
          <w:sz w:val="24"/>
          <w:szCs w:val="24"/>
          <w:highlight w:val="none"/>
        </w:rPr>
        <w:t>。</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highlight w:val="none"/>
        </w:rPr>
      </w:pPr>
      <w:r>
        <w:rPr>
          <w:rFonts w:hint="eastAsia" w:ascii="宋体" w:hAnsi="宋体" w:cs="宋体"/>
          <w:sz w:val="24"/>
          <w:szCs w:val="24"/>
        </w:rPr>
        <w:t>（四）租赁期间，乙方有下列情形之一的，甲方有权解除租赁合同</w:t>
      </w:r>
      <w:r>
        <w:rPr>
          <w:rFonts w:hint="eastAsia" w:ascii="宋体" w:hAnsi="宋体" w:cs="宋体"/>
          <w:sz w:val="24"/>
          <w:szCs w:val="24"/>
          <w:highlight w:val="none"/>
        </w:rPr>
        <w:t>：</w:t>
      </w:r>
    </w:p>
    <w:p w14:paraId="646D00C2">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乙方未经甲方书面同意，擅自将租赁房产全部或部分转租的。</w:t>
      </w:r>
    </w:p>
    <w:p w14:paraId="03BC9160">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乙方利用承租房产进行非法活动或损害公共利益的。</w:t>
      </w:r>
    </w:p>
    <w:p w14:paraId="1576ABE8">
      <w:pPr>
        <w:spacing w:line="380" w:lineRule="exact"/>
        <w:ind w:firstLine="883" w:firstLineChars="200"/>
        <w:rPr>
          <w:rFonts w:ascii="宋体" w:hAnsi="宋体" w:cs="宋体"/>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193040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rPr>
        <w:t>4</w:t>
      </w:r>
      <w:r>
        <w:rPr>
          <w:rFonts w:hint="eastAsia" w:ascii="宋体" w:hAnsi="宋体" w:cs="宋体"/>
          <w:sz w:val="24"/>
          <w:szCs w:val="24"/>
          <w:highlight w:val="none"/>
          <w:lang w:val="en-US" w:eastAsia="zh-CN"/>
        </w:rPr>
        <w:t>.</w:t>
      </w:r>
      <w:r>
        <w:rPr>
          <w:rFonts w:hint="eastAsia" w:ascii="宋体" w:hAnsi="宋体" w:cs="宋体"/>
          <w:sz w:val="24"/>
          <w:szCs w:val="24"/>
          <w:highlight w:val="none"/>
        </w:rPr>
        <w:t>经甲方书面催告乙方仍拖欠租金超过壹个月的。</w:t>
      </w:r>
    </w:p>
    <w:p w14:paraId="5E1B2A31">
      <w:pPr>
        <w:pStyle w:val="4"/>
        <w:spacing w:line="380" w:lineRule="exact"/>
        <w:rPr>
          <w:rFonts w:ascii="宋体" w:hAnsi="宋体" w:cs="宋体"/>
          <w:szCs w:val="24"/>
          <w:highlight w:val="none"/>
        </w:rPr>
      </w:pPr>
      <w:r>
        <w:rPr>
          <w:rFonts w:hint="eastAsia" w:ascii="宋体" w:hAnsi="宋体" w:cs="宋体"/>
          <w:szCs w:val="24"/>
          <w:highlight w:val="none"/>
        </w:rPr>
        <w:t>5</w:t>
      </w:r>
      <w:r>
        <w:rPr>
          <w:rFonts w:hint="eastAsia" w:ascii="宋体" w:hAnsi="宋体" w:cs="宋体"/>
          <w:szCs w:val="24"/>
          <w:highlight w:val="none"/>
          <w:lang w:val="en-US" w:eastAsia="zh-CN"/>
        </w:rPr>
        <w:t>.</w:t>
      </w:r>
      <w:r>
        <w:rPr>
          <w:rFonts w:hint="eastAsia" w:ascii="宋体" w:hAnsi="宋体" w:cs="宋体"/>
          <w:szCs w:val="24"/>
          <w:highlight w:val="none"/>
        </w:rPr>
        <w:t>乙方使用不当、管理不善、蓄意破坏或非不可抗力，致使房产损坏的。</w:t>
      </w:r>
    </w:p>
    <w:p w14:paraId="522A2ED9">
      <w:pPr>
        <w:pStyle w:val="4"/>
        <w:spacing w:line="380" w:lineRule="exact"/>
        <w:rPr>
          <w:rFonts w:ascii="宋体" w:hAnsi="宋体" w:cs="宋体"/>
          <w:szCs w:val="24"/>
          <w:highlight w:val="none"/>
        </w:rPr>
      </w:pPr>
      <w:r>
        <w:rPr>
          <w:rFonts w:hint="eastAsia" w:ascii="宋体" w:hAnsi="宋体" w:cs="宋体"/>
          <w:szCs w:val="24"/>
          <w:highlight w:val="none"/>
        </w:rPr>
        <w:t>6</w:t>
      </w:r>
      <w:r>
        <w:rPr>
          <w:rFonts w:hint="eastAsia" w:ascii="宋体" w:hAnsi="宋体" w:cs="宋体"/>
          <w:szCs w:val="24"/>
          <w:highlight w:val="none"/>
          <w:lang w:val="en-US" w:eastAsia="zh-CN"/>
        </w:rPr>
        <w:t>.</w:t>
      </w:r>
      <w:r>
        <w:rPr>
          <w:rFonts w:hint="eastAsia" w:ascii="宋体" w:hAnsi="宋体" w:cs="宋体"/>
          <w:szCs w:val="24"/>
          <w:highlight w:val="none"/>
        </w:rPr>
        <w:t>乙方逾期未按时缴纳按约定由乙方缴纳的各项费用，经甲方通知后仍未按约定缴纳的。</w:t>
      </w:r>
    </w:p>
    <w:p w14:paraId="0A6F5720">
      <w:pPr>
        <w:pStyle w:val="4"/>
        <w:spacing w:line="380" w:lineRule="exact"/>
        <w:rPr>
          <w:rFonts w:ascii="宋体" w:hAnsi="宋体" w:cs="宋体"/>
          <w:szCs w:val="24"/>
          <w:highlight w:val="none"/>
        </w:rPr>
      </w:pPr>
      <w:r>
        <w:rPr>
          <w:rFonts w:hint="eastAsia" w:ascii="宋体" w:hAnsi="宋体" w:cs="宋体"/>
          <w:szCs w:val="24"/>
          <w:highlight w:val="none"/>
        </w:rPr>
        <w:t>7</w:t>
      </w:r>
      <w:r>
        <w:rPr>
          <w:rFonts w:hint="eastAsia" w:ascii="宋体" w:hAnsi="宋体" w:cs="宋体"/>
          <w:szCs w:val="24"/>
          <w:highlight w:val="none"/>
          <w:lang w:val="en-US" w:eastAsia="zh-CN"/>
        </w:rPr>
        <w:t>.</w:t>
      </w:r>
      <w:r>
        <w:rPr>
          <w:rFonts w:hint="eastAsia" w:ascii="宋体" w:hAnsi="宋体" w:cs="宋体"/>
          <w:szCs w:val="24"/>
          <w:highlight w:val="none"/>
        </w:rPr>
        <w:t>乙方违章、违法、违规经营，被相关机关行政处罚而未限期整改的。</w:t>
      </w:r>
    </w:p>
    <w:p w14:paraId="0D0BC96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8</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乙方违反本合同约定的其他情形。</w:t>
      </w:r>
    </w:p>
    <w:p w14:paraId="7A3C071F">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（五）租赁期间，甲方有下列情形之一的，乙方有权解除租赁合同：</w:t>
      </w:r>
    </w:p>
    <w:p w14:paraId="5D3BAC48">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法律规定的其他情形。</w:t>
      </w:r>
    </w:p>
    <w:p w14:paraId="50003F63">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（七）租赁合同终止：</w:t>
      </w:r>
    </w:p>
    <w:p w14:paraId="61EFB7B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合同期届满终止。</w:t>
      </w:r>
    </w:p>
    <w:p w14:paraId="555F04D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合同解除终止。</w:t>
      </w:r>
    </w:p>
    <w:p w14:paraId="557A752D">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highlight w:val="none"/>
        </w:rPr>
      </w:pPr>
      <w:r>
        <w:rPr>
          <w:rFonts w:hint="eastAsia" w:ascii="宋体" w:hAnsi="宋体" w:cs="宋体"/>
          <w:b/>
          <w:sz w:val="24"/>
          <w:szCs w:val="24"/>
          <w:highlight w:val="none"/>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(一)乙方未在合同约定的期限内全额支付房产租金，除支付应付租金外，还应从逾期之日起，每天按应付租金的万分之五计算向甲方支付违约金。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）合同期满或合同解除的</w:t>
      </w:r>
      <w:r>
        <w:rPr>
          <w:rFonts w:hint="eastAsia" w:ascii="宋体" w:hAnsi="宋体" w:cs="宋体"/>
          <w:sz w:val="24"/>
          <w:szCs w:val="24"/>
          <w:highlight w:val="none"/>
          <w:lang w:val="en-US" w:eastAsia="zh-CN"/>
        </w:rPr>
        <w:t>15日内</w:t>
      </w:r>
      <w:r>
        <w:rPr>
          <w:rFonts w:hint="eastAsia" w:ascii="宋体" w:hAnsi="宋体" w:eastAsia="宋体" w:cs="宋体"/>
          <w:sz w:val="24"/>
          <w:szCs w:val="24"/>
          <w:highlight w:val="none"/>
        </w:rPr>
        <w:t>，乙方应腾空并退还租赁房产，乙方逾期仍未腾空退还的，乙方应按应腾空当年的租金单价向甲方双倍支付占用期间的租金（即逾期腾空期租金=应腾空当年日租金*2*延期腾空天数），乙方逾期</w:t>
      </w:r>
      <w:r>
        <w:rPr>
          <w:rFonts w:hint="eastAsia" w:ascii="宋体" w:hAnsi="宋体" w:cs="宋体"/>
          <w:sz w:val="24"/>
          <w:szCs w:val="24"/>
          <w:highlight w:val="none"/>
          <w:lang w:val="en-US" w:eastAsia="zh-CN"/>
        </w:rPr>
        <w:t>3日</w:t>
      </w:r>
      <w:r>
        <w:rPr>
          <w:rFonts w:hint="eastAsia" w:ascii="宋体" w:hAnsi="宋体" w:eastAsia="宋体" w:cs="宋体"/>
          <w:sz w:val="24"/>
          <w:szCs w:val="24"/>
          <w:highlight w:val="none"/>
        </w:rPr>
        <w:t>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rPr>
        <w:t>）乙方因违反本合同约定事项造成甲方或第三方经济损失、侵害第三方合法权益的，乙方除负责赔偿甲方或第三方因此所造成的经济损失，承担相应的法律责任外，还应按照</w:t>
      </w:r>
      <w:r>
        <w:rPr>
          <w:rFonts w:hint="eastAsia" w:ascii="宋体" w:hAnsi="宋体" w:cs="宋体"/>
          <w:sz w:val="24"/>
          <w:szCs w:val="24"/>
          <w:highlight w:val="none"/>
          <w:lang w:val="en-US" w:eastAsia="zh-CN"/>
        </w:rPr>
        <w:t>竞价</w:t>
      </w:r>
      <w:r>
        <w:rPr>
          <w:rFonts w:hint="eastAsia" w:ascii="宋体" w:hAnsi="宋体" w:eastAsia="宋体" w:cs="宋体"/>
          <w:sz w:val="24"/>
          <w:szCs w:val="24"/>
          <w:highlight w:val="none"/>
        </w:rPr>
        <w:t>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四</w:t>
      </w:r>
      <w:r>
        <w:rPr>
          <w:rFonts w:hint="eastAsia" w:ascii="宋体" w:hAnsi="宋体" w:eastAsia="宋体" w:cs="宋体"/>
          <w:sz w:val="24"/>
          <w:szCs w:val="24"/>
          <w:highlight w:val="none"/>
        </w:rPr>
        <w:t>）乙方在合同期限内因自身原因提出解除合同的，甲方同意后，除按实际租期结算租金。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五</w:t>
      </w:r>
      <w:r>
        <w:rPr>
          <w:rFonts w:hint="eastAsia" w:ascii="宋体" w:hAnsi="宋体" w:eastAsia="宋体" w:cs="宋体"/>
          <w:sz w:val="24"/>
          <w:szCs w:val="24"/>
        </w:rPr>
        <w:t>）乙方因违反本合同约定事项解除合同的，除按实际租期结算租金外，乙方还应按照</w:t>
      </w:r>
      <w:r>
        <w:rPr>
          <w:rFonts w:hint="eastAsia" w:ascii="宋体" w:hAnsi="宋体" w:cs="宋体"/>
          <w:sz w:val="24"/>
          <w:szCs w:val="24"/>
          <w:lang w:val="en-US" w:eastAsia="zh-CN"/>
        </w:rPr>
        <w:t>竞价</w:t>
      </w:r>
      <w:r>
        <w:rPr>
          <w:rFonts w:hint="eastAsia" w:ascii="宋体" w:hAnsi="宋体" w:eastAsia="宋体" w:cs="宋体"/>
          <w:sz w:val="24"/>
          <w:szCs w:val="24"/>
        </w:rPr>
        <w:t>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883" w:firstLineChars="2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548640</wp:posOffset>
            </wp:positionH>
            <wp:positionV relativeFrom="paragraph">
              <wp:posOffset>357505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06F0B5A1">
      <w:pPr>
        <w:rPr>
          <w:rFonts w:hint="eastAsia"/>
        </w:rPr>
      </w:pPr>
    </w:p>
    <w:p w14:paraId="0610CB35">
      <w:pPr>
        <w:rPr>
          <w:rFonts w:hint="eastAsia"/>
        </w:rPr>
      </w:pPr>
    </w:p>
    <w:p w14:paraId="4730717B">
      <w:pPr>
        <w:rPr>
          <w:rFonts w:hint="eastAsia"/>
        </w:rPr>
      </w:pPr>
    </w:p>
    <w:p w14:paraId="7DF2AE02">
      <w:pPr>
        <w:rPr>
          <w:rFonts w:hint="eastAsia"/>
        </w:rPr>
      </w:pPr>
    </w:p>
    <w:p w14:paraId="66185190">
      <w:pPr>
        <w:rPr>
          <w:rFonts w:hint="eastAsia"/>
        </w:rPr>
      </w:pPr>
    </w:p>
    <w:p w14:paraId="0E3C889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7A287E1C">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883" w:firstLineChars="200"/>
        <w:rPr>
          <w:rFonts w:hint="eastAsia" w:ascii="宋体" w:hAnsi="宋体" w:cs="宋体"/>
          <w:sz w:val="21"/>
          <w:szCs w:val="21"/>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44450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2025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2025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55832C1B"/>
    <w:rsid w:val="00013654"/>
    <w:rsid w:val="00441793"/>
    <w:rsid w:val="005319D6"/>
    <w:rsid w:val="007E031E"/>
    <w:rsid w:val="009F4C1B"/>
    <w:rsid w:val="00CB1EB4"/>
    <w:rsid w:val="016D6AC7"/>
    <w:rsid w:val="01990605"/>
    <w:rsid w:val="01B6046E"/>
    <w:rsid w:val="020860D1"/>
    <w:rsid w:val="023B6BC5"/>
    <w:rsid w:val="025832D3"/>
    <w:rsid w:val="027125E7"/>
    <w:rsid w:val="029059C8"/>
    <w:rsid w:val="029F7154"/>
    <w:rsid w:val="02CE17E8"/>
    <w:rsid w:val="034F46D6"/>
    <w:rsid w:val="038349CC"/>
    <w:rsid w:val="03FD35BE"/>
    <w:rsid w:val="04223B99"/>
    <w:rsid w:val="04695C6C"/>
    <w:rsid w:val="04B52C5F"/>
    <w:rsid w:val="04DD5D12"/>
    <w:rsid w:val="04EF08A6"/>
    <w:rsid w:val="052C73BA"/>
    <w:rsid w:val="05432019"/>
    <w:rsid w:val="05485881"/>
    <w:rsid w:val="055C132D"/>
    <w:rsid w:val="057B7A05"/>
    <w:rsid w:val="05DB04A3"/>
    <w:rsid w:val="05DE7F94"/>
    <w:rsid w:val="05F17CC7"/>
    <w:rsid w:val="06186459"/>
    <w:rsid w:val="063B53E6"/>
    <w:rsid w:val="068C79F0"/>
    <w:rsid w:val="06DD056E"/>
    <w:rsid w:val="06E01A9A"/>
    <w:rsid w:val="06E67100"/>
    <w:rsid w:val="06F3181D"/>
    <w:rsid w:val="06FA3BF5"/>
    <w:rsid w:val="070954E4"/>
    <w:rsid w:val="07372051"/>
    <w:rsid w:val="07AF7E3A"/>
    <w:rsid w:val="07BA233A"/>
    <w:rsid w:val="07C1191B"/>
    <w:rsid w:val="07ED2710"/>
    <w:rsid w:val="07EF0236"/>
    <w:rsid w:val="07FE491D"/>
    <w:rsid w:val="080B2B96"/>
    <w:rsid w:val="08204893"/>
    <w:rsid w:val="087B41C0"/>
    <w:rsid w:val="088D20E6"/>
    <w:rsid w:val="089B3163"/>
    <w:rsid w:val="08E65ADD"/>
    <w:rsid w:val="08F31FA8"/>
    <w:rsid w:val="09510A7C"/>
    <w:rsid w:val="09D771D4"/>
    <w:rsid w:val="0A002BCE"/>
    <w:rsid w:val="0A1977EC"/>
    <w:rsid w:val="0A2C751F"/>
    <w:rsid w:val="0A2E773B"/>
    <w:rsid w:val="0A682522"/>
    <w:rsid w:val="0A6F565E"/>
    <w:rsid w:val="0AD609BF"/>
    <w:rsid w:val="0AE9480A"/>
    <w:rsid w:val="0B260413"/>
    <w:rsid w:val="0B380146"/>
    <w:rsid w:val="0B451123"/>
    <w:rsid w:val="0B4E1717"/>
    <w:rsid w:val="0B57681E"/>
    <w:rsid w:val="0B576AA4"/>
    <w:rsid w:val="0B603A40"/>
    <w:rsid w:val="0BA17A99"/>
    <w:rsid w:val="0BB2614A"/>
    <w:rsid w:val="0BCB4B16"/>
    <w:rsid w:val="0BE61950"/>
    <w:rsid w:val="0C2506CA"/>
    <w:rsid w:val="0C767178"/>
    <w:rsid w:val="0C8F7554"/>
    <w:rsid w:val="0CE12B92"/>
    <w:rsid w:val="0D0E1BF1"/>
    <w:rsid w:val="0D2C5A88"/>
    <w:rsid w:val="0DA970D9"/>
    <w:rsid w:val="0DD405FA"/>
    <w:rsid w:val="0DEB5944"/>
    <w:rsid w:val="0E5232CD"/>
    <w:rsid w:val="0E7E0566"/>
    <w:rsid w:val="0E9438E5"/>
    <w:rsid w:val="0EB36461"/>
    <w:rsid w:val="0EEE15CF"/>
    <w:rsid w:val="0EF820C6"/>
    <w:rsid w:val="0F040A6B"/>
    <w:rsid w:val="0F503CB0"/>
    <w:rsid w:val="0F7F6343"/>
    <w:rsid w:val="0FAC0D64"/>
    <w:rsid w:val="0FBF2767"/>
    <w:rsid w:val="0FEE34C9"/>
    <w:rsid w:val="0FFC1742"/>
    <w:rsid w:val="106E3232"/>
    <w:rsid w:val="107C7731"/>
    <w:rsid w:val="10B97633"/>
    <w:rsid w:val="10BB784F"/>
    <w:rsid w:val="115560EE"/>
    <w:rsid w:val="115D7703"/>
    <w:rsid w:val="11716160"/>
    <w:rsid w:val="118045F5"/>
    <w:rsid w:val="119A3908"/>
    <w:rsid w:val="119A56B6"/>
    <w:rsid w:val="11AA6E88"/>
    <w:rsid w:val="11E20E0C"/>
    <w:rsid w:val="11E3705D"/>
    <w:rsid w:val="12046FD4"/>
    <w:rsid w:val="12147BCF"/>
    <w:rsid w:val="121A67F7"/>
    <w:rsid w:val="121F5BBC"/>
    <w:rsid w:val="12296A3A"/>
    <w:rsid w:val="125A3098"/>
    <w:rsid w:val="127C6B6A"/>
    <w:rsid w:val="128819B3"/>
    <w:rsid w:val="12CD73C6"/>
    <w:rsid w:val="12DC585B"/>
    <w:rsid w:val="12E12E71"/>
    <w:rsid w:val="130E2919"/>
    <w:rsid w:val="132A0CBC"/>
    <w:rsid w:val="1334478A"/>
    <w:rsid w:val="137A57A0"/>
    <w:rsid w:val="137F6218"/>
    <w:rsid w:val="13D33102"/>
    <w:rsid w:val="13D9352A"/>
    <w:rsid w:val="14172FEE"/>
    <w:rsid w:val="145C30F7"/>
    <w:rsid w:val="145C6C53"/>
    <w:rsid w:val="147A357D"/>
    <w:rsid w:val="14952B42"/>
    <w:rsid w:val="14B148CD"/>
    <w:rsid w:val="1525173B"/>
    <w:rsid w:val="157224A6"/>
    <w:rsid w:val="15D36B89"/>
    <w:rsid w:val="15DD0268"/>
    <w:rsid w:val="15E50ECA"/>
    <w:rsid w:val="162E34C4"/>
    <w:rsid w:val="16565924"/>
    <w:rsid w:val="167A18E7"/>
    <w:rsid w:val="16C90DC6"/>
    <w:rsid w:val="16D50016"/>
    <w:rsid w:val="16D76A65"/>
    <w:rsid w:val="16EE4509"/>
    <w:rsid w:val="175E0F34"/>
    <w:rsid w:val="17A96653"/>
    <w:rsid w:val="17AE665A"/>
    <w:rsid w:val="17B91E87"/>
    <w:rsid w:val="180E4708"/>
    <w:rsid w:val="180F7322"/>
    <w:rsid w:val="181B7855"/>
    <w:rsid w:val="18784278"/>
    <w:rsid w:val="18DF7E53"/>
    <w:rsid w:val="19A23135"/>
    <w:rsid w:val="1A206975"/>
    <w:rsid w:val="1A3F2493"/>
    <w:rsid w:val="1A5018AD"/>
    <w:rsid w:val="1A8567D8"/>
    <w:rsid w:val="1A9A04D5"/>
    <w:rsid w:val="1AA72BF2"/>
    <w:rsid w:val="1AC47300"/>
    <w:rsid w:val="1ADC6D40"/>
    <w:rsid w:val="1AFF2A2E"/>
    <w:rsid w:val="1B43776B"/>
    <w:rsid w:val="1BA33D1B"/>
    <w:rsid w:val="1BAC6712"/>
    <w:rsid w:val="1BD73063"/>
    <w:rsid w:val="1BD9502D"/>
    <w:rsid w:val="1C8B457A"/>
    <w:rsid w:val="1C9A2A0F"/>
    <w:rsid w:val="1CBF4223"/>
    <w:rsid w:val="1CCB706C"/>
    <w:rsid w:val="1D1C3400"/>
    <w:rsid w:val="1D274825"/>
    <w:rsid w:val="1D2B18B9"/>
    <w:rsid w:val="1D7B7E7D"/>
    <w:rsid w:val="1D8D60CF"/>
    <w:rsid w:val="1DB4365C"/>
    <w:rsid w:val="1EF82139"/>
    <w:rsid w:val="1F66307C"/>
    <w:rsid w:val="1F75506D"/>
    <w:rsid w:val="1FB0010B"/>
    <w:rsid w:val="1FF42436"/>
    <w:rsid w:val="200D34F7"/>
    <w:rsid w:val="2020322B"/>
    <w:rsid w:val="203767C6"/>
    <w:rsid w:val="205C7FDB"/>
    <w:rsid w:val="206F5F60"/>
    <w:rsid w:val="209061C6"/>
    <w:rsid w:val="209634ED"/>
    <w:rsid w:val="20AC2D10"/>
    <w:rsid w:val="20B971DB"/>
    <w:rsid w:val="20C95670"/>
    <w:rsid w:val="20CC6F0F"/>
    <w:rsid w:val="216C3187"/>
    <w:rsid w:val="216C4186"/>
    <w:rsid w:val="21731A80"/>
    <w:rsid w:val="21AE2AB8"/>
    <w:rsid w:val="221072CF"/>
    <w:rsid w:val="2245341D"/>
    <w:rsid w:val="22543660"/>
    <w:rsid w:val="22974B03"/>
    <w:rsid w:val="22C75BE0"/>
    <w:rsid w:val="22FA4207"/>
    <w:rsid w:val="232272BA"/>
    <w:rsid w:val="23A10665"/>
    <w:rsid w:val="23A21A79"/>
    <w:rsid w:val="23A979DB"/>
    <w:rsid w:val="23C12F77"/>
    <w:rsid w:val="23EE4FC0"/>
    <w:rsid w:val="2409047A"/>
    <w:rsid w:val="24286B52"/>
    <w:rsid w:val="24A73F1B"/>
    <w:rsid w:val="24BB1774"/>
    <w:rsid w:val="24C30629"/>
    <w:rsid w:val="24CF6FCD"/>
    <w:rsid w:val="24FA09B2"/>
    <w:rsid w:val="251A0B90"/>
    <w:rsid w:val="25381017"/>
    <w:rsid w:val="253A2A33"/>
    <w:rsid w:val="25617026"/>
    <w:rsid w:val="25A0381A"/>
    <w:rsid w:val="25D0124F"/>
    <w:rsid w:val="261849A4"/>
    <w:rsid w:val="262502D3"/>
    <w:rsid w:val="26926505"/>
    <w:rsid w:val="26AF5308"/>
    <w:rsid w:val="26C64C1E"/>
    <w:rsid w:val="26E36D60"/>
    <w:rsid w:val="26F03C3F"/>
    <w:rsid w:val="27084A19"/>
    <w:rsid w:val="271909D4"/>
    <w:rsid w:val="2767173F"/>
    <w:rsid w:val="27826579"/>
    <w:rsid w:val="27B626C7"/>
    <w:rsid w:val="27C941A8"/>
    <w:rsid w:val="27CB7F20"/>
    <w:rsid w:val="27F531EF"/>
    <w:rsid w:val="28700AC7"/>
    <w:rsid w:val="287C746C"/>
    <w:rsid w:val="288B5901"/>
    <w:rsid w:val="28CD1A76"/>
    <w:rsid w:val="290D27BA"/>
    <w:rsid w:val="292F44DF"/>
    <w:rsid w:val="29D137E8"/>
    <w:rsid w:val="2A091A9B"/>
    <w:rsid w:val="2A1831C5"/>
    <w:rsid w:val="2A461AE0"/>
    <w:rsid w:val="2A68414C"/>
    <w:rsid w:val="2A7A3E7F"/>
    <w:rsid w:val="2AC450FA"/>
    <w:rsid w:val="2B465B0F"/>
    <w:rsid w:val="2B7D3C27"/>
    <w:rsid w:val="2B7F3B82"/>
    <w:rsid w:val="2BA51913"/>
    <w:rsid w:val="2BA80578"/>
    <w:rsid w:val="2BAF1907"/>
    <w:rsid w:val="2C613E7E"/>
    <w:rsid w:val="2CDC497D"/>
    <w:rsid w:val="2D4744ED"/>
    <w:rsid w:val="2D7E5A35"/>
    <w:rsid w:val="2DEC0BF0"/>
    <w:rsid w:val="2E073C7C"/>
    <w:rsid w:val="2E150147"/>
    <w:rsid w:val="2E443CD9"/>
    <w:rsid w:val="2EB601AA"/>
    <w:rsid w:val="2F854E58"/>
    <w:rsid w:val="2FE14059"/>
    <w:rsid w:val="30136908"/>
    <w:rsid w:val="30502ECC"/>
    <w:rsid w:val="30CC4D09"/>
    <w:rsid w:val="30F85AFE"/>
    <w:rsid w:val="312E1520"/>
    <w:rsid w:val="313174F1"/>
    <w:rsid w:val="317A4765"/>
    <w:rsid w:val="32002EBC"/>
    <w:rsid w:val="325A081E"/>
    <w:rsid w:val="32FD564D"/>
    <w:rsid w:val="33291F9F"/>
    <w:rsid w:val="3375264B"/>
    <w:rsid w:val="338F44F8"/>
    <w:rsid w:val="33F04922"/>
    <w:rsid w:val="3421711A"/>
    <w:rsid w:val="346239BA"/>
    <w:rsid w:val="348558FB"/>
    <w:rsid w:val="349A75F8"/>
    <w:rsid w:val="34A51AF9"/>
    <w:rsid w:val="34DB4795"/>
    <w:rsid w:val="350F02C4"/>
    <w:rsid w:val="35492DCC"/>
    <w:rsid w:val="357C4F4F"/>
    <w:rsid w:val="35814314"/>
    <w:rsid w:val="35825BEA"/>
    <w:rsid w:val="35A16764"/>
    <w:rsid w:val="35B44725"/>
    <w:rsid w:val="35CF507F"/>
    <w:rsid w:val="35E058EF"/>
    <w:rsid w:val="360867E3"/>
    <w:rsid w:val="36146E6C"/>
    <w:rsid w:val="36247878"/>
    <w:rsid w:val="362B4280"/>
    <w:rsid w:val="364610BA"/>
    <w:rsid w:val="36676139"/>
    <w:rsid w:val="36716136"/>
    <w:rsid w:val="36B129D7"/>
    <w:rsid w:val="36D27916"/>
    <w:rsid w:val="36F56D67"/>
    <w:rsid w:val="36FD79CA"/>
    <w:rsid w:val="377D6D5D"/>
    <w:rsid w:val="37CE75B8"/>
    <w:rsid w:val="37FF300F"/>
    <w:rsid w:val="382316B2"/>
    <w:rsid w:val="38233656"/>
    <w:rsid w:val="38353194"/>
    <w:rsid w:val="38B95B73"/>
    <w:rsid w:val="38C70290"/>
    <w:rsid w:val="38F01C59"/>
    <w:rsid w:val="38FB262F"/>
    <w:rsid w:val="3924635D"/>
    <w:rsid w:val="39365415"/>
    <w:rsid w:val="3957222B"/>
    <w:rsid w:val="398C6648"/>
    <w:rsid w:val="39912D3E"/>
    <w:rsid w:val="3995038E"/>
    <w:rsid w:val="399A59A4"/>
    <w:rsid w:val="39C742BF"/>
    <w:rsid w:val="39F82064"/>
    <w:rsid w:val="3A034EA8"/>
    <w:rsid w:val="3A5169AB"/>
    <w:rsid w:val="3B2E2848"/>
    <w:rsid w:val="3B351BA7"/>
    <w:rsid w:val="3B3B4F65"/>
    <w:rsid w:val="3B911029"/>
    <w:rsid w:val="3BBF16F2"/>
    <w:rsid w:val="3BE405A6"/>
    <w:rsid w:val="3BFA6BCE"/>
    <w:rsid w:val="3C1C2BBF"/>
    <w:rsid w:val="3C2B4FD9"/>
    <w:rsid w:val="3CFD40DF"/>
    <w:rsid w:val="3D6C6E81"/>
    <w:rsid w:val="3D6F7148"/>
    <w:rsid w:val="3DE10BB3"/>
    <w:rsid w:val="3DFF04CC"/>
    <w:rsid w:val="3E045AE2"/>
    <w:rsid w:val="3E173A67"/>
    <w:rsid w:val="3E175815"/>
    <w:rsid w:val="3E6C777D"/>
    <w:rsid w:val="3E784676"/>
    <w:rsid w:val="3E950E30"/>
    <w:rsid w:val="3EE14075"/>
    <w:rsid w:val="3EF773F5"/>
    <w:rsid w:val="3F0F2990"/>
    <w:rsid w:val="3F626F64"/>
    <w:rsid w:val="3F7B1DD4"/>
    <w:rsid w:val="3FC45529"/>
    <w:rsid w:val="3FC90D91"/>
    <w:rsid w:val="3FF40D29"/>
    <w:rsid w:val="400022D9"/>
    <w:rsid w:val="4013025E"/>
    <w:rsid w:val="406B1E48"/>
    <w:rsid w:val="40750F19"/>
    <w:rsid w:val="40995A3F"/>
    <w:rsid w:val="40C33A32"/>
    <w:rsid w:val="41270465"/>
    <w:rsid w:val="416F3BBA"/>
    <w:rsid w:val="41DB2FFE"/>
    <w:rsid w:val="41FD4D22"/>
    <w:rsid w:val="422624CB"/>
    <w:rsid w:val="429338D8"/>
    <w:rsid w:val="42A968BD"/>
    <w:rsid w:val="42EC4D68"/>
    <w:rsid w:val="42F44377"/>
    <w:rsid w:val="42F779C3"/>
    <w:rsid w:val="431D2A0C"/>
    <w:rsid w:val="43DB72E5"/>
    <w:rsid w:val="43F05F42"/>
    <w:rsid w:val="441427F7"/>
    <w:rsid w:val="446379C6"/>
    <w:rsid w:val="44727C49"/>
    <w:rsid w:val="44BA6EFA"/>
    <w:rsid w:val="451E1B7F"/>
    <w:rsid w:val="4533080F"/>
    <w:rsid w:val="453A628D"/>
    <w:rsid w:val="45605CF4"/>
    <w:rsid w:val="456A0921"/>
    <w:rsid w:val="4577128F"/>
    <w:rsid w:val="458C0997"/>
    <w:rsid w:val="45AC718B"/>
    <w:rsid w:val="45B44292"/>
    <w:rsid w:val="45CF69D6"/>
    <w:rsid w:val="46326F64"/>
    <w:rsid w:val="463902F3"/>
    <w:rsid w:val="46957C1F"/>
    <w:rsid w:val="46B61944"/>
    <w:rsid w:val="46F52BC5"/>
    <w:rsid w:val="47186590"/>
    <w:rsid w:val="477F61D9"/>
    <w:rsid w:val="47CB141F"/>
    <w:rsid w:val="486E0728"/>
    <w:rsid w:val="48E1539E"/>
    <w:rsid w:val="48F14EB5"/>
    <w:rsid w:val="4914186E"/>
    <w:rsid w:val="491D1E84"/>
    <w:rsid w:val="49252AF9"/>
    <w:rsid w:val="497004D0"/>
    <w:rsid w:val="498126DD"/>
    <w:rsid w:val="49E862B8"/>
    <w:rsid w:val="4A0D7DFB"/>
    <w:rsid w:val="4A6E0EB3"/>
    <w:rsid w:val="4A8F6951"/>
    <w:rsid w:val="4AA76173"/>
    <w:rsid w:val="4AD760AF"/>
    <w:rsid w:val="4B166E55"/>
    <w:rsid w:val="4B413ED2"/>
    <w:rsid w:val="4B5005B9"/>
    <w:rsid w:val="4B5160DF"/>
    <w:rsid w:val="4B653631"/>
    <w:rsid w:val="4B654700"/>
    <w:rsid w:val="4B7D3443"/>
    <w:rsid w:val="4BD016F9"/>
    <w:rsid w:val="4C1B2975"/>
    <w:rsid w:val="4C285091"/>
    <w:rsid w:val="4C5B2692"/>
    <w:rsid w:val="4C6B4F7E"/>
    <w:rsid w:val="4C790954"/>
    <w:rsid w:val="4C8229F4"/>
    <w:rsid w:val="4C83051A"/>
    <w:rsid w:val="4D245859"/>
    <w:rsid w:val="4D677E3B"/>
    <w:rsid w:val="4DC45AC7"/>
    <w:rsid w:val="4DCC0105"/>
    <w:rsid w:val="4E4B5067"/>
    <w:rsid w:val="4E6F4B7C"/>
    <w:rsid w:val="4E8314AE"/>
    <w:rsid w:val="4EA2737D"/>
    <w:rsid w:val="4EB40E5E"/>
    <w:rsid w:val="4EE259CC"/>
    <w:rsid w:val="4EF94AC3"/>
    <w:rsid w:val="4F1E452A"/>
    <w:rsid w:val="4F361873"/>
    <w:rsid w:val="4F3855EC"/>
    <w:rsid w:val="4F732AC8"/>
    <w:rsid w:val="4F734876"/>
    <w:rsid w:val="4F7F76BE"/>
    <w:rsid w:val="4F894E59"/>
    <w:rsid w:val="4FBE01E7"/>
    <w:rsid w:val="4FD73056"/>
    <w:rsid w:val="501162A2"/>
    <w:rsid w:val="502344EE"/>
    <w:rsid w:val="50306C0B"/>
    <w:rsid w:val="504F52E3"/>
    <w:rsid w:val="50AF7B2F"/>
    <w:rsid w:val="50E310B3"/>
    <w:rsid w:val="51220301"/>
    <w:rsid w:val="51B03DC9"/>
    <w:rsid w:val="51E418DC"/>
    <w:rsid w:val="521265C8"/>
    <w:rsid w:val="52344790"/>
    <w:rsid w:val="524D5852"/>
    <w:rsid w:val="528D5C4E"/>
    <w:rsid w:val="52B96A43"/>
    <w:rsid w:val="52CD6993"/>
    <w:rsid w:val="531225F7"/>
    <w:rsid w:val="531C6FD2"/>
    <w:rsid w:val="536C7F5A"/>
    <w:rsid w:val="53CF4979"/>
    <w:rsid w:val="542E520F"/>
    <w:rsid w:val="545A24A8"/>
    <w:rsid w:val="548C0FD9"/>
    <w:rsid w:val="54971006"/>
    <w:rsid w:val="54A86D6F"/>
    <w:rsid w:val="54B24092"/>
    <w:rsid w:val="551422B7"/>
    <w:rsid w:val="55264138"/>
    <w:rsid w:val="555E38D2"/>
    <w:rsid w:val="556233C2"/>
    <w:rsid w:val="55631913"/>
    <w:rsid w:val="55654C60"/>
    <w:rsid w:val="55832C1B"/>
    <w:rsid w:val="55EE2EA8"/>
    <w:rsid w:val="563D798B"/>
    <w:rsid w:val="56682C5A"/>
    <w:rsid w:val="56761207"/>
    <w:rsid w:val="567C6706"/>
    <w:rsid w:val="56B51C18"/>
    <w:rsid w:val="56BF65F2"/>
    <w:rsid w:val="56C41E5B"/>
    <w:rsid w:val="576378C6"/>
    <w:rsid w:val="580544D9"/>
    <w:rsid w:val="58DF6166"/>
    <w:rsid w:val="590D1897"/>
    <w:rsid w:val="5943350B"/>
    <w:rsid w:val="594828CF"/>
    <w:rsid w:val="594A0FC2"/>
    <w:rsid w:val="5954396A"/>
    <w:rsid w:val="59854623"/>
    <w:rsid w:val="59864BB0"/>
    <w:rsid w:val="59995821"/>
    <w:rsid w:val="59B85CA7"/>
    <w:rsid w:val="59CD7278"/>
    <w:rsid w:val="59F20A8D"/>
    <w:rsid w:val="5A2A6479"/>
    <w:rsid w:val="5A7B6781"/>
    <w:rsid w:val="5A7E5ACE"/>
    <w:rsid w:val="5A8913F1"/>
    <w:rsid w:val="5A943A15"/>
    <w:rsid w:val="5AA505A9"/>
    <w:rsid w:val="5AD91110"/>
    <w:rsid w:val="5AF019BF"/>
    <w:rsid w:val="5B152C85"/>
    <w:rsid w:val="5B3663E0"/>
    <w:rsid w:val="5B44356A"/>
    <w:rsid w:val="5B6A7475"/>
    <w:rsid w:val="5B8F47E5"/>
    <w:rsid w:val="5C272C70"/>
    <w:rsid w:val="5CB36BF9"/>
    <w:rsid w:val="5CB57990"/>
    <w:rsid w:val="5CEE7C31"/>
    <w:rsid w:val="5D0B2591"/>
    <w:rsid w:val="5D2378DB"/>
    <w:rsid w:val="5D812854"/>
    <w:rsid w:val="5DAD3649"/>
    <w:rsid w:val="5E0F60B1"/>
    <w:rsid w:val="5E231B5D"/>
    <w:rsid w:val="5E96232F"/>
    <w:rsid w:val="5EAB3264"/>
    <w:rsid w:val="5EF64B7B"/>
    <w:rsid w:val="5F0813F1"/>
    <w:rsid w:val="5F0C25F1"/>
    <w:rsid w:val="5F412A9E"/>
    <w:rsid w:val="5FC25DAF"/>
    <w:rsid w:val="5FDC6467"/>
    <w:rsid w:val="5FF90DC7"/>
    <w:rsid w:val="600357A2"/>
    <w:rsid w:val="6008100A"/>
    <w:rsid w:val="601D2D07"/>
    <w:rsid w:val="606A3A73"/>
    <w:rsid w:val="60765F74"/>
    <w:rsid w:val="607D07E1"/>
    <w:rsid w:val="60806DF2"/>
    <w:rsid w:val="60A35897"/>
    <w:rsid w:val="60A60377"/>
    <w:rsid w:val="610E43FE"/>
    <w:rsid w:val="613C6753"/>
    <w:rsid w:val="614B5652"/>
    <w:rsid w:val="614E250A"/>
    <w:rsid w:val="616B6916"/>
    <w:rsid w:val="61B52ACC"/>
    <w:rsid w:val="61DB4C28"/>
    <w:rsid w:val="61E3588B"/>
    <w:rsid w:val="62DD052C"/>
    <w:rsid w:val="62F0586E"/>
    <w:rsid w:val="63062746"/>
    <w:rsid w:val="638C5AAE"/>
    <w:rsid w:val="63A66B70"/>
    <w:rsid w:val="63B70D7D"/>
    <w:rsid w:val="640B10C9"/>
    <w:rsid w:val="64191A38"/>
    <w:rsid w:val="648D270F"/>
    <w:rsid w:val="64963FE0"/>
    <w:rsid w:val="64D27038"/>
    <w:rsid w:val="64DB0A9B"/>
    <w:rsid w:val="64E5191A"/>
    <w:rsid w:val="653B778C"/>
    <w:rsid w:val="655D3BA6"/>
    <w:rsid w:val="65A25A5D"/>
    <w:rsid w:val="65A2780B"/>
    <w:rsid w:val="65B03CD6"/>
    <w:rsid w:val="65C13289"/>
    <w:rsid w:val="65DE4CE7"/>
    <w:rsid w:val="6635067F"/>
    <w:rsid w:val="669C24AC"/>
    <w:rsid w:val="66AC1B17"/>
    <w:rsid w:val="66C537B1"/>
    <w:rsid w:val="66C96CDD"/>
    <w:rsid w:val="66F45E44"/>
    <w:rsid w:val="672C7CD4"/>
    <w:rsid w:val="679D64DC"/>
    <w:rsid w:val="67E67E83"/>
    <w:rsid w:val="67E97973"/>
    <w:rsid w:val="67ED7463"/>
    <w:rsid w:val="67F3434E"/>
    <w:rsid w:val="67FD341E"/>
    <w:rsid w:val="6833299C"/>
    <w:rsid w:val="68490412"/>
    <w:rsid w:val="68CD2DF1"/>
    <w:rsid w:val="68E02B24"/>
    <w:rsid w:val="68FB170C"/>
    <w:rsid w:val="69117181"/>
    <w:rsid w:val="691B0000"/>
    <w:rsid w:val="6965127B"/>
    <w:rsid w:val="69C9180A"/>
    <w:rsid w:val="69E8497D"/>
    <w:rsid w:val="6A116D0D"/>
    <w:rsid w:val="6A2C3B47"/>
    <w:rsid w:val="6A5A1C74"/>
    <w:rsid w:val="6A7C687C"/>
    <w:rsid w:val="6AB26742"/>
    <w:rsid w:val="6B105217"/>
    <w:rsid w:val="6B2F3761"/>
    <w:rsid w:val="6B621F16"/>
    <w:rsid w:val="6B835EC1"/>
    <w:rsid w:val="6B9B043F"/>
    <w:rsid w:val="6BAF4A30"/>
    <w:rsid w:val="6BC4672D"/>
    <w:rsid w:val="6C0A7EB8"/>
    <w:rsid w:val="6C0C59DE"/>
    <w:rsid w:val="6C264CF2"/>
    <w:rsid w:val="6C2D0A54"/>
    <w:rsid w:val="6C405323"/>
    <w:rsid w:val="6CEC6744"/>
    <w:rsid w:val="6D01750D"/>
    <w:rsid w:val="6D056FFD"/>
    <w:rsid w:val="6D2D3E5E"/>
    <w:rsid w:val="6D6F26C8"/>
    <w:rsid w:val="6D94212F"/>
    <w:rsid w:val="6D9D5488"/>
    <w:rsid w:val="6DD16EDF"/>
    <w:rsid w:val="6E184B0E"/>
    <w:rsid w:val="6E846C45"/>
    <w:rsid w:val="6E8977BA"/>
    <w:rsid w:val="6EB04D47"/>
    <w:rsid w:val="6EBD1212"/>
    <w:rsid w:val="6EC10D02"/>
    <w:rsid w:val="6EED57F2"/>
    <w:rsid w:val="6F5557B4"/>
    <w:rsid w:val="6FBB6813"/>
    <w:rsid w:val="6FE32EFA"/>
    <w:rsid w:val="70153647"/>
    <w:rsid w:val="70545BA6"/>
    <w:rsid w:val="7072514B"/>
    <w:rsid w:val="70763D6E"/>
    <w:rsid w:val="708B5A6B"/>
    <w:rsid w:val="70A91100"/>
    <w:rsid w:val="70E4517B"/>
    <w:rsid w:val="712D6B22"/>
    <w:rsid w:val="7149277B"/>
    <w:rsid w:val="715C7408"/>
    <w:rsid w:val="72023A49"/>
    <w:rsid w:val="728A58AF"/>
    <w:rsid w:val="72F84F0E"/>
    <w:rsid w:val="735A34D3"/>
    <w:rsid w:val="736F2334"/>
    <w:rsid w:val="73722F12"/>
    <w:rsid w:val="73A17354"/>
    <w:rsid w:val="73A429A0"/>
    <w:rsid w:val="73DC038C"/>
    <w:rsid w:val="7456174E"/>
    <w:rsid w:val="746315ED"/>
    <w:rsid w:val="748E3A25"/>
    <w:rsid w:val="74A40EAA"/>
    <w:rsid w:val="74B9247B"/>
    <w:rsid w:val="74F10661"/>
    <w:rsid w:val="74F160B9"/>
    <w:rsid w:val="74FD05BA"/>
    <w:rsid w:val="752B15CB"/>
    <w:rsid w:val="75371D1E"/>
    <w:rsid w:val="753B10E2"/>
    <w:rsid w:val="75470D70"/>
    <w:rsid w:val="757226DA"/>
    <w:rsid w:val="759E0D5A"/>
    <w:rsid w:val="76041D8F"/>
    <w:rsid w:val="76B15B00"/>
    <w:rsid w:val="76BF646F"/>
    <w:rsid w:val="76E77774"/>
    <w:rsid w:val="77242776"/>
    <w:rsid w:val="77366005"/>
    <w:rsid w:val="77613082"/>
    <w:rsid w:val="778C3E77"/>
    <w:rsid w:val="77B04009"/>
    <w:rsid w:val="77E14A78"/>
    <w:rsid w:val="78166F30"/>
    <w:rsid w:val="78A82F32"/>
    <w:rsid w:val="79022643"/>
    <w:rsid w:val="79ED50A1"/>
    <w:rsid w:val="7A020420"/>
    <w:rsid w:val="7A682979"/>
    <w:rsid w:val="7A770E0E"/>
    <w:rsid w:val="7AA15E8B"/>
    <w:rsid w:val="7AF45447"/>
    <w:rsid w:val="7B166879"/>
    <w:rsid w:val="7B6C6499"/>
    <w:rsid w:val="7BAB6FC2"/>
    <w:rsid w:val="7BD056B1"/>
    <w:rsid w:val="7CCB2490"/>
    <w:rsid w:val="7CD51F65"/>
    <w:rsid w:val="7CFD1A9F"/>
    <w:rsid w:val="7CFE1373"/>
    <w:rsid w:val="7D2708CA"/>
    <w:rsid w:val="7D425704"/>
    <w:rsid w:val="7D511DBF"/>
    <w:rsid w:val="7DAC5C7D"/>
    <w:rsid w:val="7DAF139C"/>
    <w:rsid w:val="7DEB7C96"/>
    <w:rsid w:val="7E0E55E6"/>
    <w:rsid w:val="7E1D1CCD"/>
    <w:rsid w:val="7E9B7426"/>
    <w:rsid w:val="7EE92460"/>
    <w:rsid w:val="7EF02F3D"/>
    <w:rsid w:val="7F1D3D7B"/>
    <w:rsid w:val="7F1F10B6"/>
    <w:rsid w:val="7FB34697"/>
    <w:rsid w:val="7FCC39AA"/>
    <w:rsid w:val="7FCC5758"/>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3877</Words>
  <Characters>4033</Characters>
  <Lines>0</Lines>
  <Paragraphs>0</Paragraphs>
  <TotalTime>18</TotalTime>
  <ScaleCrop>false</ScaleCrop>
  <LinksUpToDate>false</LinksUpToDate>
  <CharactersWithSpaces>4362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2025-10-31T01:14:50Z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9B0B3BAEEA884A63BE5CE5C3EF01A460_13</vt:lpwstr>
  </property>
  <property fmtid="{D5CDD505-2E9C-101B-9397-08002B2CF9AE}" pid="4" name="KSOTemplateDocerSaveRecord">
    <vt:lpwstr>eyJoZGlkIjoiNzYzNDZhZmRmZjM0NWUxNmJiOWFiNDI5YTEzYzUxNmEiLCJ1c2VySWQiOiIxNTk0MDAzNDA5In0=</vt:lpwstr>
  </property>
</Properties>
</file>