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ind w:left="420" w:leftChars="2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温州市龙湾区瑶溪街道黄石北单元02-D-20地块1#2#场地租赁权（租期至2027年9月19日止）竞价文件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2026年1月14日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温州市龙湾区瑶溪街道黄石北单元02-D-20地块1#2#场地租赁权（租期至2027年9月19日止）竞价公告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w:t>
      </w:r>
      <w:r>
        <w:rPr>
          <w:rFonts w:hint="eastAsia" w:ascii="宋体" w:hAnsi="宋体"/>
          <w:color w:val="auto"/>
          <w:sz w:val="24"/>
          <w:szCs w:val="24"/>
          <w:u w:val="none"/>
          <w:lang w:val="en-US" w:eastAsia="zh-CN"/>
        </w:rPr>
        <w:t>6</w:t>
      </w:r>
      <w:r>
        <w:rPr>
          <w:rFonts w:hint="eastAsia" w:ascii="宋体" w:hAnsi="宋体"/>
          <w:color w:val="auto"/>
          <w:sz w:val="24"/>
          <w:szCs w:val="24"/>
          <w:u w:val="none"/>
        </w:rPr>
        <w:t>年</w:t>
      </w:r>
      <w:r>
        <w:rPr>
          <w:rFonts w:hint="eastAsia" w:ascii="宋体" w:hAnsi="宋体"/>
          <w:color w:val="auto"/>
          <w:sz w:val="24"/>
          <w:szCs w:val="24"/>
          <w:u w:val="none"/>
          <w:lang w:val="en-US" w:eastAsia="zh-CN"/>
        </w:rPr>
        <w:t>1月21日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2026年1月22日上午9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u w:val="none"/>
          <w:lang w:val="en-US" w:eastAsia="zh-CN"/>
        </w:rPr>
        <w:t>温州市龙湾区瑶溪街道黄石北单元02-D-20地块1#2#场地租赁权（租期至2027年9月19日止）</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sz w:val="24"/>
                <w:szCs w:val="24"/>
                <w:highlight w:val="none"/>
                <w:lang w:val="en-US" w:eastAsia="zh-CN"/>
              </w:rPr>
              <w:t xml:space="preserve">温州市龙湾区瑶溪街道黄石北单元02-D-20地块1#2#场地租赁权（租期至2027年9月19日止）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 xml:space="preserve">约6787.15㎡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425553</w:t>
            </w:r>
            <w:r>
              <w:rPr>
                <w:rFonts w:hint="default" w:ascii="宋体" w:hAnsi="宋体" w:eastAsia="宋体" w:cs="宋体"/>
                <w:b w:val="0"/>
                <w:bCs/>
                <w:kern w:val="2"/>
                <w:sz w:val="24"/>
                <w:szCs w:val="24"/>
                <w:highlight w:val="none"/>
                <w:lang w:val="en-US" w:eastAsia="zh-CN"/>
              </w:rPr>
              <w:t>元</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42万元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66F9BD1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注：1.租期至2027年9月19日止，租金（不含税）一年一付，先付后用，租赁期内租金不递增。租赁期满后，若政府部门无建设需要可续租1年。</w:t>
            </w:r>
          </w:p>
          <w:p w14:paraId="256CB53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2.用途：场地使用。</w:t>
            </w:r>
          </w:p>
          <w:p w14:paraId="3E84A2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default" w:ascii="宋体" w:hAnsi="宋体" w:eastAsia="宋体" w:cs="Times New Roman"/>
                <w:color w:val="auto"/>
                <w:kern w:val="2"/>
                <w:sz w:val="24"/>
                <w:szCs w:val="24"/>
                <w:lang w:val="en-US" w:eastAsia="zh-CN" w:bidi="ar-SA"/>
              </w:rPr>
              <w:t>3.</w:t>
            </w:r>
            <w:r>
              <w:rPr>
                <w:rFonts w:hint="default" w:ascii="宋体" w:hAnsi="宋体" w:eastAsia="宋体" w:cs="Times New Roman"/>
                <w:color w:val="auto"/>
                <w:sz w:val="24"/>
                <w:szCs w:val="24"/>
                <w:highlight w:val="none"/>
                <w:u w:val="none"/>
                <w:lang w:val="en-US" w:eastAsia="zh-CN"/>
              </w:rPr>
              <w:t>标的物内有高压线，严禁搭建行车、高棚等一切可能对高压线路造成安全隐患的设备设施。竞得人须根据相关部门要求对安全问题严格落实到位。若因竞得人违规搭建造成的一切安全事故、法律责任及经济损失，均由竞得人自行承担，村集体不承担任何连带责任。</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黄山村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：10万元</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20</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7514363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温州市龙湾区瑶溪街道黄山村股份经济合作社</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2026年1月14日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2026年1月14日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1552;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257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257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2026年1月21日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B7FF0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温州市龙湾区瑶溪街道黄山村股份经济合作社</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1C3D4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30FA06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12C133A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F672F4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5E37609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361187D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2F0A161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A1BE0D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3764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27F2BD5">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1F3C5311">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sz w:val="24"/>
                <w:szCs w:val="24"/>
                <w:highlight w:val="none"/>
                <w:lang w:val="en-US" w:eastAsia="zh-CN"/>
              </w:rPr>
              <w:t xml:space="preserve">温州市龙湾区瑶溪街道黄石北单元02-D-20地块1#2#场地租赁权（租期至2027年9月19日止）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5260E74">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 xml:space="preserve">约6787.15㎡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0C76F667">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425553</w:t>
            </w:r>
            <w:r>
              <w:rPr>
                <w:rFonts w:hint="default" w:ascii="宋体" w:hAnsi="宋体" w:eastAsia="宋体" w:cs="宋体"/>
                <w:b w:val="0"/>
                <w:bCs/>
                <w:kern w:val="2"/>
                <w:sz w:val="24"/>
                <w:szCs w:val="24"/>
                <w:highlight w:val="none"/>
                <w:lang w:val="en-US" w:eastAsia="zh-CN"/>
              </w:rPr>
              <w:t>元</w:t>
            </w:r>
          </w:p>
        </w:tc>
        <w:tc>
          <w:tcPr>
            <w:tcW w:w="1406" w:type="dxa"/>
            <w:tcBorders>
              <w:top w:val="single" w:color="000000" w:sz="4" w:space="0"/>
              <w:left w:val="nil"/>
              <w:bottom w:val="single" w:color="000000" w:sz="4" w:space="0"/>
              <w:right w:val="single" w:color="auto" w:sz="4" w:space="0"/>
            </w:tcBorders>
            <w:noWrap w:val="0"/>
            <w:vAlign w:val="center"/>
          </w:tcPr>
          <w:p w14:paraId="3D550C2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42万元 </w:t>
            </w:r>
          </w:p>
        </w:tc>
      </w:tr>
      <w:tr w14:paraId="7506F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682A3AF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注：1.租期至2027年9月19日止，租金（不含税）一年一付，先付后用，租赁期内租金不递增。租赁期满后，若政府部门无建设需要可续租1年。</w:t>
            </w:r>
          </w:p>
          <w:p w14:paraId="5582727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.用途：场地使用。</w:t>
            </w:r>
          </w:p>
          <w:p w14:paraId="22885AB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kern w:val="2"/>
                <w:sz w:val="24"/>
                <w:szCs w:val="24"/>
                <w:lang w:val="en-US" w:eastAsia="zh-CN" w:bidi="ar-SA"/>
              </w:rPr>
              <w:t>3</w:t>
            </w:r>
            <w:r>
              <w:rPr>
                <w:rFonts w:hint="default" w:ascii="宋体" w:hAnsi="宋体" w:eastAsia="宋体" w:cs="Times New Roman"/>
                <w:color w:val="auto"/>
                <w:kern w:val="2"/>
                <w:sz w:val="24"/>
                <w:szCs w:val="24"/>
                <w:lang w:val="en-US" w:eastAsia="zh-CN" w:bidi="ar-SA"/>
              </w:rPr>
              <w:t>.</w:t>
            </w:r>
            <w:r>
              <w:rPr>
                <w:rFonts w:hint="default" w:ascii="宋体" w:hAnsi="宋体" w:eastAsia="宋体" w:cs="Times New Roman"/>
                <w:color w:val="auto"/>
                <w:sz w:val="24"/>
                <w:szCs w:val="24"/>
                <w:highlight w:val="none"/>
                <w:u w:val="none"/>
                <w:lang w:val="en-US" w:eastAsia="zh-CN"/>
              </w:rPr>
              <w:t>标的物内有高压线，严禁搭建行车、高棚等一切可能对高压线路造成安全隐患的设备设施。竞得人须根据相关部门要求对安全问题严格落实到位。若因竞得人违规搭建造成的一切安全事故、法律责任及经济损失，均由竞得人自行承担，村集体不承担任何连带责任。</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根据年租金成交价乘以租赁年限</w:t>
            </w:r>
            <w:r>
              <w:rPr>
                <w:rFonts w:hint="eastAsia"/>
                <w:b w:val="0"/>
                <w:bCs w:val="0"/>
                <w:i w:val="0"/>
                <w:caps w:val="0"/>
                <w:color w:val="auto"/>
                <w:spacing w:val="0"/>
                <w:w w:val="100"/>
                <w:sz w:val="21"/>
                <w:highlight w:val="none"/>
                <w:lang w:val="en-US" w:eastAsia="zh-CN"/>
              </w:rPr>
              <w:t>，采用</w:t>
            </w:r>
            <w:r>
              <w:rPr>
                <w:rFonts w:hint="eastAsia"/>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p>
    <w:p w14:paraId="2FE172A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u w:val="single"/>
          <w:lang w:val="en-US" w:eastAsia="zh-CN"/>
        </w:rPr>
        <w:t>7、标的物有水电设施，竞得人需自行办理，相关手续及费用由竞得人自行承担。</w:t>
      </w:r>
    </w:p>
    <w:p w14:paraId="1537EAD8">
      <w:pPr>
        <w:pStyle w:val="3"/>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572770</wp:posOffset>
            </wp:positionH>
            <wp:positionV relativeFrom="paragraph">
              <wp:posOffset>461010</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u w:val="single"/>
          <w:lang w:val="en-US" w:eastAsia="zh-CN"/>
        </w:rPr>
        <w:t>8、标的物现有道路无法满足大车通行，竞得人若有使用需求，须自行对道路拓宽，所产生的一切费用及责任由竞得人自行承担。</w:t>
      </w:r>
    </w:p>
    <w:p w14:paraId="7CE5AE58">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lang w:val="en-US" w:eastAsia="zh-CN"/>
        </w:rPr>
      </w:pPr>
      <w:r>
        <w:rPr>
          <w:rFonts w:hint="eastAsia" w:ascii="宋体" w:hAnsi="宋体" w:eastAsia="宋体" w:cs="宋体"/>
          <w:color w:val="auto"/>
          <w:sz w:val="24"/>
          <w:szCs w:val="24"/>
          <w:u w:val="single"/>
          <w:lang w:val="en-US" w:eastAsia="zh-CN"/>
        </w:rPr>
        <w:t>9、任何配套设施由竞得人自行办理、建设，所产生的一切费用及责任由竞得人自行承担，村集体不承担任何连带责任。</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10、</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77B682E4">
      <w:pPr>
        <w:ind w:firstLine="482" w:firstLineChars="200"/>
        <w:rPr>
          <w:rFonts w:hint="eastAsia"/>
          <w:b/>
          <w:bCs/>
        </w:rPr>
      </w:pPr>
      <w:r>
        <w:rPr>
          <w:rFonts w:hint="eastAsia" w:ascii="宋体" w:hAnsi="宋体" w:cs="宋体"/>
          <w:b/>
          <w:bCs/>
          <w:color w:val="auto"/>
          <w:sz w:val="24"/>
          <w:szCs w:val="24"/>
          <w:u w:val="single"/>
          <w:lang w:val="en-US" w:eastAsia="zh-CN"/>
        </w:rPr>
        <w:t>11、标的物租赁范围为02-D-20地块1#2#（详见附图：未划横线部分）。</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年</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14</w:t>
      </w:r>
      <w:r>
        <w:rPr>
          <w:rFonts w:hint="eastAsia" w:ascii="宋体" w:hAnsi="宋体"/>
          <w:color w:val="auto"/>
          <w:sz w:val="24"/>
          <w:szCs w:val="24"/>
          <w:highlight w:val="none"/>
          <w:lang w:eastAsia="zh-CN"/>
        </w:rPr>
        <w:t>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228600</wp:posOffset>
                </wp:positionH>
                <wp:positionV relativeFrom="paragraph">
                  <wp:posOffset>118745</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18pt;margin-top:9.35pt;height:78.3pt;width:461.4pt;z-index:251673600;mso-width-relative:page;mso-height-relative:page;" fillcolor="#FFFFFF" filled="t" stroked="t" coordsize="21600,21600" o:gfxdata="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vi8u9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w:t>
      </w:r>
      <w:r>
        <w:rPr>
          <w:rFonts w:hint="eastAsia" w:ascii="宋体" w:hAnsi="宋体"/>
          <w:color w:val="auto"/>
          <w:spacing w:val="-2"/>
          <w:sz w:val="24"/>
          <w:highlight w:val="none"/>
          <w:lang w:val="en-US" w:eastAsia="zh-CN"/>
        </w:rPr>
        <w:t>6</w:t>
      </w:r>
      <w:r>
        <w:rPr>
          <w:rFonts w:hint="eastAsia" w:ascii="宋体" w:hAnsi="宋体" w:eastAsia="宋体"/>
          <w:color w:val="auto"/>
          <w:spacing w:val="-2"/>
          <w:sz w:val="24"/>
          <w:highlight w:val="none"/>
          <w:lang w:eastAsia="zh-CN"/>
        </w:rPr>
        <w:t>年</w:t>
      </w:r>
      <w:r>
        <w:rPr>
          <w:rFonts w:hint="eastAsia" w:ascii="宋体" w:hAnsi="宋体"/>
          <w:color w:val="auto"/>
          <w:spacing w:val="-2"/>
          <w:sz w:val="24"/>
          <w:highlight w:val="none"/>
          <w:lang w:val="en-US" w:eastAsia="zh-CN"/>
        </w:rPr>
        <w:t>1月21日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688FBB4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租期至2027年9月19日止，租金（不含税）一年一付，先付后用，租赁期内租金不递增。租赁期满后，若政府部门无建设需要可续租1年。</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年1月</w:t>
      </w:r>
      <w:r>
        <w:rPr>
          <w:rFonts w:hint="eastAsia" w:cs="Times New Roman"/>
          <w:color w:val="auto"/>
          <w:kern w:val="2"/>
          <w:sz w:val="24"/>
          <w:szCs w:val="20"/>
          <w:highlight w:val="none"/>
          <w:u w:val="none"/>
          <w:lang w:val="en-US" w:eastAsia="zh-CN" w:bidi="ar-SA"/>
        </w:rPr>
        <w:t>28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瑶溪街道黄山村股份经济合作社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1</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426F189">
      <w:pPr>
        <w:keepNext w:val="0"/>
        <w:keepLines w:val="0"/>
        <w:pageBreakBefore w:val="0"/>
        <w:kinsoku/>
        <w:wordWrap/>
        <w:overflowPunct/>
        <w:topLinePunct w:val="0"/>
        <w:bidi w:val="0"/>
        <w:snapToGrid/>
        <w:spacing w:line="44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w:t>
      </w:r>
      <w:r>
        <w:rPr>
          <w:rFonts w:hint="eastAsia" w:ascii="宋体" w:hAnsi="宋体" w:eastAsia="宋体" w:cs="宋体"/>
          <w:bCs/>
          <w:kern w:val="2"/>
          <w:sz w:val="24"/>
          <w:szCs w:val="24"/>
          <w:lang w:val="en-US" w:eastAsia="zh-CN" w:bidi="ar-SA"/>
        </w:rPr>
        <w:t>瑶溪街道黄山村股份经济合作社</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984885</wp:posOffset>
            </wp:positionH>
            <wp:positionV relativeFrom="paragraph">
              <wp:posOffset>306705</wp:posOffset>
            </wp:positionV>
            <wp:extent cx="5271770" cy="5833110"/>
            <wp:effectExtent l="0" t="0" r="5080" b="15240"/>
            <wp:wrapNone/>
            <wp:docPr id="25"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4B1C6AF">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1.第一期租金￥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元整）；2026年  月   日至2027年  月  日；</w:t>
      </w:r>
    </w:p>
    <w:p w14:paraId="79BC168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2.第二期租金￥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元整），2027年  月   日至2027年  月   日；</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3.</w:t>
      </w:r>
      <w:r>
        <w:rPr>
          <w:rFonts w:hint="eastAsia" w:ascii="宋体" w:hAnsi="宋体"/>
          <w:b w:val="0"/>
          <w:bCs w:val="0"/>
          <w:color w:val="auto"/>
          <w:sz w:val="24"/>
          <w:szCs w:val="24"/>
          <w:u w:val="single"/>
          <w:lang w:val="en-US" w:eastAsia="zh-CN"/>
        </w:rPr>
        <w:t>租期至2027年9月19日止，租金（不含税）一年一付，先付后用，租赁期内租金不递增。租赁期满后，若政府部门无建设需要可续租1年。下期租金应在上期租赁期限届满前1个月付清。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424180</wp:posOffset>
            </wp:positionH>
            <wp:positionV relativeFrom="paragraph">
              <wp:posOffset>-3197860</wp:posOffset>
            </wp:positionV>
            <wp:extent cx="5271770" cy="5833110"/>
            <wp:effectExtent l="0" t="0" r="5080" b="15240"/>
            <wp:wrapNone/>
            <wp:docPr id="13"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424180</wp:posOffset>
            </wp:positionH>
            <wp:positionV relativeFrom="paragraph">
              <wp:posOffset>-289560</wp:posOffset>
            </wp:positionV>
            <wp:extent cx="5271770" cy="5833110"/>
            <wp:effectExtent l="0" t="0" r="5080" b="15240"/>
            <wp:wrapNone/>
            <wp:docPr id="9"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不改正或赔偿的；</w:t>
      </w:r>
    </w:p>
    <w:p w14:paraId="0F8D590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u w:val="single"/>
          <w:lang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u w:val="single"/>
          <w:lang w:eastAsia="zh-CN"/>
        </w:rPr>
        <w:t>乙方不得改变标的物用途，若乙方私自改变标的</w:t>
      </w:r>
      <w:bookmarkStart w:id="0" w:name="_GoBack"/>
      <w:bookmarkEnd w:id="0"/>
      <w:r>
        <w:rPr>
          <w:rFonts w:hint="eastAsia" w:ascii="宋体" w:hAnsi="宋体" w:eastAsia="宋体" w:cs="宋体"/>
          <w:kern w:val="0"/>
          <w:sz w:val="24"/>
          <w:szCs w:val="24"/>
          <w:u w:val="single"/>
          <w:lang w:eastAsia="zh-CN"/>
        </w:rPr>
        <w:t>物用途，甲方有权单方面解除租赁合同，且不退还当年租金。</w:t>
      </w:r>
    </w:p>
    <w:p w14:paraId="12347542">
      <w:pPr>
        <w:keepNext w:val="0"/>
        <w:keepLines w:val="0"/>
        <w:pageBreakBefore w:val="0"/>
        <w:kinsoku/>
        <w:wordWrap/>
        <w:overflowPunct/>
        <w:topLinePunct w:val="0"/>
        <w:bidi w:val="0"/>
        <w:snapToGrid/>
        <w:spacing w:line="420" w:lineRule="exact"/>
        <w:ind w:firstLine="480" w:firstLineChars="200"/>
        <w:textAlignment w:val="auto"/>
        <w:rPr>
          <w:rFonts w:hint="eastAsia" w:cs="宋体"/>
          <w:kern w:val="0"/>
          <w:sz w:val="24"/>
          <w:szCs w:val="24"/>
          <w:u w:val="single"/>
          <w:lang w:val="en-US" w:eastAsia="zh-CN"/>
        </w:rPr>
      </w:pPr>
      <w:r>
        <w:rPr>
          <w:rFonts w:hint="eastAsia" w:cs="宋体"/>
          <w:kern w:val="0"/>
          <w:sz w:val="24"/>
          <w:szCs w:val="24"/>
          <w:u w:val="none"/>
          <w:lang w:val="en-US" w:eastAsia="zh-CN"/>
        </w:rPr>
        <w:t>二、</w:t>
      </w:r>
      <w:r>
        <w:rPr>
          <w:rFonts w:hint="eastAsia" w:cs="宋体"/>
          <w:kern w:val="0"/>
          <w:sz w:val="24"/>
          <w:szCs w:val="24"/>
          <w:u w:val="single"/>
          <w:lang w:val="en-US" w:eastAsia="zh-CN"/>
        </w:rPr>
        <w:t>租赁物内有高压线，严禁搭建行车、高棚等一切可能对高压线路造成安全隐患的设备设施。乙方须根据相关部门要求对安全问题严格落实到位。若因乙方违规搭建造成的一切安全事故、法律责任及经济损失，均由乙方自行承担，甲方不承担任何连带责任。</w:t>
      </w:r>
    </w:p>
    <w:p w14:paraId="747D14F4">
      <w:pPr>
        <w:keepNext w:val="0"/>
        <w:keepLines w:val="0"/>
        <w:pageBreakBefore w:val="0"/>
        <w:kinsoku/>
        <w:wordWrap/>
        <w:overflowPunct/>
        <w:topLinePunct w:val="0"/>
        <w:bidi w:val="0"/>
        <w:snapToGrid/>
        <w:spacing w:line="420" w:lineRule="exact"/>
        <w:ind w:firstLine="480" w:firstLineChars="200"/>
        <w:textAlignment w:val="auto"/>
        <w:rPr>
          <w:rFonts w:hint="eastAsia" w:cs="宋体"/>
          <w:kern w:val="0"/>
          <w:sz w:val="24"/>
          <w:szCs w:val="24"/>
          <w:u w:val="single"/>
          <w:lang w:val="en-US" w:eastAsia="zh-CN"/>
        </w:rPr>
      </w:pPr>
      <w:r>
        <w:rPr>
          <w:rFonts w:hint="eastAsia" w:cs="宋体"/>
          <w:kern w:val="0"/>
          <w:sz w:val="24"/>
          <w:szCs w:val="24"/>
          <w:u w:val="none"/>
          <w:lang w:val="en-US" w:eastAsia="zh-CN"/>
        </w:rPr>
        <w:t>三、</w:t>
      </w:r>
      <w:r>
        <w:rPr>
          <w:rFonts w:hint="eastAsia" w:cs="宋体"/>
          <w:kern w:val="0"/>
          <w:sz w:val="24"/>
          <w:szCs w:val="24"/>
          <w:u w:val="single"/>
          <w:lang w:val="en-US" w:eastAsia="zh-CN"/>
        </w:rPr>
        <w:t>标的物有水电设施，乙方需自行办理，相关手续及费用由乙方自行承担。</w:t>
      </w:r>
    </w:p>
    <w:p w14:paraId="6A01167D">
      <w:pPr>
        <w:keepNext w:val="0"/>
        <w:keepLines w:val="0"/>
        <w:pageBreakBefore w:val="0"/>
        <w:kinsoku/>
        <w:wordWrap/>
        <w:overflowPunct/>
        <w:topLinePunct w:val="0"/>
        <w:bidi w:val="0"/>
        <w:snapToGrid/>
        <w:spacing w:line="420" w:lineRule="exact"/>
        <w:ind w:firstLine="480" w:firstLineChars="200"/>
        <w:textAlignment w:val="auto"/>
        <w:rPr>
          <w:rFonts w:hint="default" w:cs="宋体"/>
          <w:kern w:val="0"/>
          <w:sz w:val="24"/>
          <w:szCs w:val="24"/>
          <w:u w:val="single"/>
          <w:lang w:val="en-US" w:eastAsia="zh-CN"/>
        </w:rPr>
      </w:pPr>
      <w:r>
        <w:rPr>
          <w:rFonts w:hint="eastAsia" w:cs="宋体"/>
          <w:kern w:val="0"/>
          <w:sz w:val="24"/>
          <w:szCs w:val="24"/>
          <w:u w:val="none"/>
          <w:lang w:val="en-US" w:eastAsia="zh-CN"/>
        </w:rPr>
        <w:t>四、</w:t>
      </w:r>
      <w:r>
        <w:rPr>
          <w:rFonts w:hint="eastAsia" w:cs="宋体"/>
          <w:kern w:val="0"/>
          <w:sz w:val="24"/>
          <w:szCs w:val="24"/>
          <w:u w:val="single"/>
          <w:lang w:val="en-US" w:eastAsia="zh-CN"/>
        </w:rPr>
        <w:t>标的物现有道路无法满足大车通行，乙方若有使用需求，须自行对道路拓宽，所产生的一切费用及责任由乙方自行承担。</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none"/>
          <w:lang w:val="en-US" w:eastAsia="zh-CN"/>
        </w:rPr>
        <w:t>五、</w:t>
      </w:r>
      <w:r>
        <w:rPr>
          <w:rFonts w:hint="eastAsia" w:cs="宋体"/>
          <w:kern w:val="0"/>
          <w:sz w:val="24"/>
          <w:szCs w:val="24"/>
          <w:u w:val="single"/>
          <w:lang w:val="en-US" w:eastAsia="zh-CN"/>
        </w:rPr>
        <w:t xml:space="preserve">任何配套设施由甲方自行办理、建设，所产生的一切费用及责任由甲方自行承担，乙方不承担任何连带责任。 </w:t>
      </w:r>
    </w:p>
    <w:p w14:paraId="058E193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7F247C00">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3D7A2535">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330D39CC">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0385BB15">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336550</wp:posOffset>
                </wp:positionH>
                <wp:positionV relativeFrom="paragraph">
                  <wp:posOffset>13970</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26.5pt;margin-top:1.1pt;height:84.35pt;width:470.35pt;z-index:251674624;mso-width-relative:page;mso-height-relative:page;" filled="f" stroked="t" coordsize="21600,21600" o:gfxdata="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nJvTdUAAAAIAQAADwAAAAAA&#10;AAABACAAAAAiAAAAZHJzL2Rvd25yZXYueG1sUEsBAhQAFAAAAAgAh07iQBgin60WAgAALAQAAA4A&#10;AAAAAAAAAQAgAAAAJAEAAGRycy9lMm9Eb2MueG1sUEsFBgAAAAAGAAYAWQEAAKwFAAAAAA==&#10;">
                <v:fill on="f" focussize="0,0"/>
                <v:stroke color="#000000" joinstyle="miter"/>
                <v:imagedata o:title=""/>
                <o:lock v:ext="edit" aspectratio="f"/>
                <v:textbo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01BAF6F">
      <w:pPr>
        <w:spacing w:line="380" w:lineRule="exact"/>
        <w:ind w:right="480" w:firstLine="4320" w:firstLineChars="1800"/>
        <w:rPr>
          <w:rFonts w:hint="eastAsia" w:ascii="宋体" w:hAnsi="宋体" w:cs="宋体"/>
          <w:sz w:val="24"/>
          <w:szCs w:val="24"/>
        </w:rPr>
      </w:pPr>
    </w:p>
    <w:p w14:paraId="3673B576">
      <w:pPr>
        <w:spacing w:line="380" w:lineRule="exact"/>
        <w:ind w:right="480" w:firstLine="4320" w:firstLineChars="1800"/>
        <w:rPr>
          <w:rFonts w:hint="eastAsia" w:ascii="宋体" w:hAnsi="宋体" w:cs="宋体"/>
          <w:sz w:val="24"/>
          <w:szCs w:val="24"/>
        </w:rPr>
      </w:pP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sectPr>
          <w:pgSz w:w="11906" w:h="16838"/>
          <w:pgMar w:top="1134" w:right="964" w:bottom="1134" w:left="964" w:header="851" w:footer="992" w:gutter="0"/>
          <w:pgNumType w:fmt="decimal"/>
          <w:cols w:space="720" w:num="1"/>
          <w:titlePg/>
          <w:docGrid w:type="lines" w:linePitch="312" w:charSpace="0"/>
        </w:sectPr>
      </w:pPr>
    </w:p>
    <w:p w14:paraId="05993E88">
      <w:pPr>
        <w:rPr>
          <w:rFonts w:hint="eastAsia" w:ascii="宋体" w:hAnsi="宋体" w:cs="Times New Roman"/>
          <w:b/>
          <w:bCs/>
          <w:color w:val="auto"/>
          <w:sz w:val="32"/>
          <w:szCs w:val="32"/>
          <w:u w:val="none"/>
          <w:lang w:val="en-US" w:eastAsia="zh-CN"/>
        </w:rPr>
      </w:pPr>
      <w:r>
        <w:rPr>
          <w:rFonts w:hint="eastAsia" w:ascii="宋体" w:hAnsi="宋体" w:cs="Times New Roman"/>
          <w:b/>
          <w:bCs/>
          <w:color w:val="auto"/>
          <w:sz w:val="44"/>
          <w:szCs w:val="44"/>
          <w:u w:val="none"/>
          <w:lang w:val="en-US" w:eastAsia="zh-CN"/>
        </w:rPr>
        <w:t>附图：</w:t>
      </w:r>
    </w:p>
    <w:p w14:paraId="39212B41">
      <w:pPr>
        <w:rPr>
          <w:rFonts w:hint="default" w:ascii="宋体" w:hAnsi="宋体" w:cs="Times New Roman"/>
          <w:b/>
          <w:bCs/>
          <w:color w:val="auto"/>
          <w:sz w:val="32"/>
          <w:szCs w:val="32"/>
          <w:u w:val="none"/>
          <w:lang w:val="en-US" w:eastAsia="zh-CN"/>
        </w:rPr>
      </w:pPr>
      <w:r>
        <w:rPr>
          <w:rFonts w:hint="default" w:ascii="宋体" w:hAnsi="宋体" w:cs="Times New Roman"/>
          <w:b/>
          <w:bCs/>
          <w:color w:val="auto"/>
          <w:sz w:val="32"/>
          <w:szCs w:val="32"/>
          <w:u w:val="none"/>
          <w:lang w:val="en-US" w:eastAsia="zh-CN"/>
        </w:rPr>
        <w:drawing>
          <wp:inline distT="0" distB="0" distL="114300" distR="114300">
            <wp:extent cx="6608445" cy="8251190"/>
            <wp:effectExtent l="0" t="0" r="1905" b="16510"/>
            <wp:docPr id="24" name="图片 24" descr="图纸（附到竞价文件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纸（附到竞价文件里）"/>
                    <pic:cNvPicPr>
                      <a:picLocks noChangeAspect="1"/>
                    </pic:cNvPicPr>
                  </pic:nvPicPr>
                  <pic:blipFill>
                    <a:blip r:embed="rId13"/>
                    <a:stretch>
                      <a:fillRect/>
                    </a:stretch>
                  </pic:blipFill>
                  <pic:spPr>
                    <a:xfrm>
                      <a:off x="0" y="0"/>
                      <a:ext cx="6608445" cy="8251190"/>
                    </a:xfrm>
                    <a:prstGeom prst="rect">
                      <a:avLst/>
                    </a:prstGeom>
                  </pic:spPr>
                </pic:pic>
              </a:graphicData>
            </a:graphic>
          </wp:inline>
        </w:drawing>
      </w:r>
    </w:p>
    <w:p w14:paraId="4D0CCFC5">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lang w:val="en-US" w:eastAsia="zh-CN"/>
        </w:rPr>
      </w:pPr>
    </w:p>
    <w:sectPr>
      <w:pgSz w:w="11906" w:h="16838"/>
      <w:pgMar w:top="1134" w:right="964" w:bottom="1134" w:left="96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256B46"/>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335069"/>
    <w:rsid w:val="0D470B14"/>
    <w:rsid w:val="0D761F46"/>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1DA6C68"/>
    <w:rsid w:val="11DD4445"/>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5B0843"/>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05BF9"/>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4C171A"/>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555E6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9214</Words>
  <Characters>9564</Characters>
  <Lines>74</Lines>
  <Paragraphs>20</Paragraphs>
  <TotalTime>2</TotalTime>
  <ScaleCrop>false</ScaleCrop>
  <LinksUpToDate>false</LinksUpToDate>
  <CharactersWithSpaces>10356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2025-11-12T06:25:00Z</cp:lastPrinted>
  <dcterms:modified xsi:type="dcterms:W3CDTF">2026-01-14T01:46:28Z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8C455EA83C404A0F92D13AE4A6F89C6C_13</vt:lpwstr>
  </property>
  <property fmtid="{D5CDD505-2E9C-101B-9397-08002B2CF9AE}" pid="4" name="KSOTemplateDocerSaveRecord">
    <vt:lpwstr>eyJoZGlkIjoiNjkzNzY2ODI0NTRlMDg1NTUzNmE2YWY4ZWJjMjE2MDMiLCJ1c2VySWQiOiI4NDc1NzY3NjIifQ==</vt:lpwstr>
  </property>
</Properties>
</file>