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温州市龙湾区星海街道滨海六路2436号滨丽雅苑房产2幢102-109、201-207及209室五年租赁权竞价文件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2026年3月25日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温州市龙湾区星海街道滨海六路2436号滨丽雅苑房产2幢102-109、201-207及209室五年租赁权竞价公告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2026年4月2日上午9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温州市龙湾区星海街道滨海六路2436号滨丽雅苑房产2幢102-109、201-207及209室五年租赁权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3245"/>
        <w:gridCol w:w="2204"/>
        <w:gridCol w:w="1623"/>
        <w:gridCol w:w="1230"/>
        <w:gridCol w:w="1003"/>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5"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827" w:type="dxa"/>
            <w:gridSpan w:val="2"/>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3"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3245" w:type="dxa"/>
            <w:vMerge w:val="restart"/>
            <w:tcBorders>
              <w:top w:val="single" w:color="000000" w:sz="4" w:space="0"/>
              <w:left w:val="single" w:color="000000" w:sz="4" w:space="0"/>
              <w:right w:val="single" w:color="000000" w:sz="4" w:space="0"/>
            </w:tcBorders>
            <w:noWrap w:val="0"/>
            <w:vAlign w:val="center"/>
          </w:tcPr>
          <w:p w14:paraId="313D1ED6">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温州市龙湾区星海街道滨海六路2436号滨丽雅苑房产2幢102-109、201-207及209室五年租赁权</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3440A295">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2幢102-109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8B787E4">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约739.37㎡</w:t>
            </w:r>
          </w:p>
        </w:tc>
        <w:tc>
          <w:tcPr>
            <w:tcW w:w="1230" w:type="dxa"/>
            <w:vMerge w:val="restart"/>
            <w:tcBorders>
              <w:top w:val="single" w:color="000000" w:sz="4" w:space="0"/>
              <w:left w:val="single" w:color="000000" w:sz="4" w:space="0"/>
              <w:right w:val="single" w:color="auto" w:sz="4" w:space="0"/>
            </w:tcBorders>
            <w:noWrap w:val="0"/>
            <w:vAlign w:val="center"/>
          </w:tcPr>
          <w:p w14:paraId="5BB592C8">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846282</w:t>
            </w:r>
            <w:r>
              <w:rPr>
                <w:rFonts w:hint="eastAsia" w:ascii="宋体" w:hAnsi="宋体" w:eastAsia="宋体" w:cs="宋体"/>
                <w:bCs/>
                <w:color w:val="auto"/>
                <w:kern w:val="2"/>
                <w:sz w:val="24"/>
                <w:szCs w:val="24"/>
                <w:highlight w:val="none"/>
                <w:u w:val="none"/>
                <w:lang w:val="en-US" w:eastAsia="zh-CN" w:bidi="ar-SA"/>
              </w:rPr>
              <w:t>元</w:t>
            </w:r>
          </w:p>
        </w:tc>
        <w:tc>
          <w:tcPr>
            <w:tcW w:w="1003" w:type="dxa"/>
            <w:vMerge w:val="restart"/>
            <w:tcBorders>
              <w:top w:val="single" w:color="000000" w:sz="4" w:space="0"/>
              <w:left w:val="nil"/>
              <w:right w:val="single" w:color="auto" w:sz="4" w:space="0"/>
            </w:tcBorders>
            <w:noWrap w:val="0"/>
            <w:vAlign w:val="center"/>
          </w:tcPr>
          <w:p w14:paraId="0AAE57EE">
            <w:pPr>
              <w:keepNext w:val="0"/>
              <w:keepLines w:val="0"/>
              <w:suppressLineNumbers w:val="0"/>
              <w:spacing w:before="0" w:beforeAutospacing="0" w:after="0" w:afterAutospacing="0" w:line="32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84万元</w:t>
            </w:r>
          </w:p>
        </w:tc>
      </w:tr>
      <w:tr w14:paraId="0ADCD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0A1AB502">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3F0BDFB7">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617515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2幢201-207、209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29DA3E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约1636.01㎡</w:t>
            </w:r>
          </w:p>
        </w:tc>
        <w:tc>
          <w:tcPr>
            <w:tcW w:w="1230" w:type="dxa"/>
            <w:vMerge w:val="continue"/>
            <w:tcBorders>
              <w:left w:val="single" w:color="000000" w:sz="4" w:space="0"/>
              <w:right w:val="single" w:color="auto" w:sz="4" w:space="0"/>
            </w:tcBorders>
            <w:noWrap w:val="0"/>
            <w:vAlign w:val="center"/>
          </w:tcPr>
          <w:p w14:paraId="586045A2">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2B786FE8">
            <w:pPr>
              <w:keepNext w:val="0"/>
              <w:keepLines w:val="0"/>
              <w:suppressLineNumbers w:val="0"/>
              <w:spacing w:before="0" w:beforeAutospacing="0" w:after="0" w:afterAutospacing="0" w:line="300" w:lineRule="exact"/>
              <w:ind w:left="0" w:right="0"/>
              <w:jc w:val="center"/>
              <w:rPr>
                <w:rFonts w:hint="default"/>
                <w:szCs w:val="20"/>
              </w:rPr>
            </w:pPr>
          </w:p>
        </w:tc>
      </w:tr>
      <w:tr w14:paraId="3038A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33C08CDD">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50A1FC86">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4A035A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22ED54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约2375.38㎡</w:t>
            </w:r>
          </w:p>
        </w:tc>
        <w:tc>
          <w:tcPr>
            <w:tcW w:w="1230" w:type="dxa"/>
            <w:vMerge w:val="continue"/>
            <w:tcBorders>
              <w:left w:val="single" w:color="000000" w:sz="4" w:space="0"/>
              <w:bottom w:val="single" w:color="000000" w:sz="4" w:space="0"/>
              <w:right w:val="single" w:color="auto" w:sz="4" w:space="0"/>
            </w:tcBorders>
            <w:noWrap w:val="0"/>
            <w:vAlign w:val="center"/>
          </w:tcPr>
          <w:p w14:paraId="0294721B">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420AAE23">
            <w:pPr>
              <w:keepNext w:val="0"/>
              <w:keepLines w:val="0"/>
              <w:suppressLineNumbers w:val="0"/>
              <w:spacing w:before="0" w:beforeAutospacing="0" w:after="0" w:afterAutospacing="0" w:line="300" w:lineRule="exact"/>
              <w:ind w:left="0" w:right="0"/>
              <w:jc w:val="center"/>
              <w:rPr>
                <w:rFonts w:hint="default"/>
                <w:szCs w:val="20"/>
              </w:rPr>
            </w:pP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10070" w:type="dxa"/>
            <w:gridSpan w:val="6"/>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租期5年，租金（不含税）一年一付，先付后用，第1-3年租金不变，第4-5年租金在第3年租金基础上递增3%。</w:t>
            </w:r>
          </w:p>
          <w:p w14:paraId="28F471D5">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商业，禁止噪音行业入驻（如KTV等）</w:t>
            </w:r>
            <w:r>
              <w:rPr>
                <w:rFonts w:hint="eastAsia" w:ascii="宋体" w:hAnsi="宋体" w:eastAsia="宋体" w:cs="宋体"/>
                <w:kern w:val="0"/>
                <w:sz w:val="24"/>
                <w:szCs w:val="24"/>
                <w:lang w:val="en-US" w:eastAsia="zh-CN" w:bidi="ar"/>
              </w:rPr>
              <w:t>。</w:t>
            </w:r>
          </w:p>
          <w:p w14:paraId="56B5E30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3.装修</w:t>
            </w:r>
            <w:r>
              <w:rPr>
                <w:rFonts w:hint="eastAsia" w:ascii="宋体" w:hAnsi="宋体" w:eastAsia="宋体" w:cs="宋体"/>
                <w:kern w:val="0"/>
                <w:sz w:val="24"/>
                <w:szCs w:val="24"/>
                <w:lang w:val="en-US" w:eastAsia="zh-CN" w:bidi="ar"/>
              </w:rPr>
              <w:t>期</w:t>
            </w:r>
            <w:r>
              <w:rPr>
                <w:rFonts w:hint="eastAsia" w:ascii="宋体" w:hAnsi="宋体" w:cs="宋体"/>
                <w:kern w:val="0"/>
                <w:sz w:val="24"/>
                <w:szCs w:val="24"/>
                <w:lang w:val="en-US" w:eastAsia="zh-CN" w:bidi="ar"/>
              </w:rPr>
              <w:t>2个月</w:t>
            </w:r>
            <w:r>
              <w:rPr>
                <w:rFonts w:hint="eastAsia" w:ascii="宋体" w:hAnsi="宋体" w:eastAsia="宋体" w:cs="宋体"/>
                <w:kern w:val="0"/>
                <w:sz w:val="24"/>
                <w:szCs w:val="24"/>
                <w:lang w:val="en-US" w:eastAsia="zh-CN" w:bidi="ar"/>
              </w:rPr>
              <w:t>，不计租金及租期。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5E2E22E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Chars="0" w:right="0" w:rightChars="0" w:firstLine="480" w:firstLineChars="200"/>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报名对象及要求：有效续存且2025年销售额达1500万元及以上的企业法人（以税务销售发票为准）。</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滨丽雅苑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为首年租金的50%（取整数）</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31</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温州市龙湾区沙城街道永寿村集体经济组织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2026年3月25日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57285C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2026年3月25日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温州市龙湾区沙城街道永寿村集体经济组织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3245"/>
        <w:gridCol w:w="2204"/>
        <w:gridCol w:w="1623"/>
        <w:gridCol w:w="1230"/>
        <w:gridCol w:w="1003"/>
      </w:tblGrid>
      <w:tr w14:paraId="12330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29A95FE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5" w:type="dxa"/>
            <w:tcBorders>
              <w:top w:val="single" w:color="000000" w:sz="4" w:space="0"/>
              <w:left w:val="single" w:color="000000" w:sz="4" w:space="0"/>
              <w:bottom w:val="single" w:color="000000" w:sz="4" w:space="0"/>
              <w:right w:val="single" w:color="000000" w:sz="4" w:space="0"/>
            </w:tcBorders>
            <w:noWrap w:val="0"/>
            <w:vAlign w:val="center"/>
          </w:tcPr>
          <w:p w14:paraId="0DF3838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827" w:type="dxa"/>
            <w:gridSpan w:val="2"/>
            <w:tcBorders>
              <w:top w:val="single" w:color="000000" w:sz="4" w:space="0"/>
              <w:left w:val="single" w:color="000000" w:sz="4" w:space="0"/>
              <w:bottom w:val="single" w:color="000000" w:sz="4" w:space="0"/>
              <w:right w:val="single" w:color="000000" w:sz="4" w:space="0"/>
            </w:tcBorders>
            <w:noWrap w:val="0"/>
            <w:vAlign w:val="center"/>
          </w:tcPr>
          <w:p w14:paraId="2174625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0" w:type="dxa"/>
            <w:tcBorders>
              <w:top w:val="single" w:color="000000" w:sz="4" w:space="0"/>
              <w:left w:val="single" w:color="000000" w:sz="4" w:space="0"/>
              <w:bottom w:val="single" w:color="000000" w:sz="4" w:space="0"/>
              <w:right w:val="single" w:color="auto" w:sz="4" w:space="0"/>
            </w:tcBorders>
            <w:noWrap w:val="0"/>
            <w:vAlign w:val="center"/>
          </w:tcPr>
          <w:p w14:paraId="5971C30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0FD162F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3" w:type="dxa"/>
            <w:tcBorders>
              <w:top w:val="single" w:color="000000" w:sz="4" w:space="0"/>
              <w:left w:val="nil"/>
              <w:bottom w:val="single" w:color="000000" w:sz="4" w:space="0"/>
              <w:right w:val="single" w:color="auto" w:sz="4" w:space="0"/>
            </w:tcBorders>
            <w:noWrap w:val="0"/>
            <w:vAlign w:val="center"/>
          </w:tcPr>
          <w:p w14:paraId="4F1CF39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4751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1C6A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restart"/>
            <w:tcBorders>
              <w:top w:val="single" w:color="000000" w:sz="4" w:space="0"/>
              <w:left w:val="single" w:color="auto" w:sz="4" w:space="0"/>
              <w:right w:val="single" w:color="000000" w:sz="4" w:space="0"/>
            </w:tcBorders>
            <w:noWrap w:val="0"/>
            <w:vAlign w:val="center"/>
          </w:tcPr>
          <w:p w14:paraId="2277BF9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3245" w:type="dxa"/>
            <w:vMerge w:val="restart"/>
            <w:tcBorders>
              <w:top w:val="single" w:color="000000" w:sz="4" w:space="0"/>
              <w:left w:val="single" w:color="000000" w:sz="4" w:space="0"/>
              <w:right w:val="single" w:color="000000" w:sz="4" w:space="0"/>
            </w:tcBorders>
            <w:noWrap w:val="0"/>
            <w:vAlign w:val="center"/>
          </w:tcPr>
          <w:p w14:paraId="0E01F938">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温州市龙湾区星海街道滨海六路2436号滨丽雅苑房产2幢102-109、201-207及209室五年租赁权</w:t>
            </w: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19C5C8C">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2幢102-109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36554A3">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约739.37㎡</w:t>
            </w:r>
          </w:p>
        </w:tc>
        <w:tc>
          <w:tcPr>
            <w:tcW w:w="1230" w:type="dxa"/>
            <w:vMerge w:val="restart"/>
            <w:tcBorders>
              <w:top w:val="single" w:color="000000" w:sz="4" w:space="0"/>
              <w:left w:val="single" w:color="000000" w:sz="4" w:space="0"/>
              <w:right w:val="single" w:color="auto" w:sz="4" w:space="0"/>
            </w:tcBorders>
            <w:noWrap w:val="0"/>
            <w:vAlign w:val="center"/>
          </w:tcPr>
          <w:p w14:paraId="053B9B5A">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846282</w:t>
            </w:r>
            <w:r>
              <w:rPr>
                <w:rFonts w:hint="eastAsia" w:ascii="宋体" w:hAnsi="宋体" w:eastAsia="宋体" w:cs="宋体"/>
                <w:bCs/>
                <w:color w:val="auto"/>
                <w:kern w:val="2"/>
                <w:sz w:val="24"/>
                <w:szCs w:val="24"/>
                <w:highlight w:val="none"/>
                <w:u w:val="none"/>
                <w:lang w:val="en-US" w:eastAsia="zh-CN" w:bidi="ar-SA"/>
              </w:rPr>
              <w:t>元</w:t>
            </w:r>
          </w:p>
        </w:tc>
        <w:tc>
          <w:tcPr>
            <w:tcW w:w="1003" w:type="dxa"/>
            <w:vMerge w:val="restart"/>
            <w:tcBorders>
              <w:top w:val="single" w:color="000000" w:sz="4" w:space="0"/>
              <w:left w:val="nil"/>
              <w:right w:val="single" w:color="auto" w:sz="4" w:space="0"/>
            </w:tcBorders>
            <w:noWrap w:val="0"/>
            <w:vAlign w:val="center"/>
          </w:tcPr>
          <w:p w14:paraId="6ED2D4CF">
            <w:pPr>
              <w:keepNext w:val="0"/>
              <w:keepLines w:val="0"/>
              <w:suppressLineNumbers w:val="0"/>
              <w:spacing w:before="0" w:beforeAutospacing="0" w:after="0" w:afterAutospacing="0" w:line="32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84万元</w:t>
            </w:r>
          </w:p>
        </w:tc>
      </w:tr>
      <w:tr w14:paraId="7DCDB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765" w:type="dxa"/>
            <w:vMerge w:val="continue"/>
            <w:tcBorders>
              <w:left w:val="single" w:color="auto" w:sz="4" w:space="0"/>
              <w:right w:val="single" w:color="000000" w:sz="4" w:space="0"/>
            </w:tcBorders>
            <w:noWrap w:val="0"/>
            <w:vAlign w:val="center"/>
          </w:tcPr>
          <w:p w14:paraId="135DF79F">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right w:val="single" w:color="000000" w:sz="4" w:space="0"/>
            </w:tcBorders>
            <w:noWrap w:val="0"/>
            <w:vAlign w:val="center"/>
          </w:tcPr>
          <w:p w14:paraId="3C523C6A">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26F41B0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2幢201-207、209</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2B40FD5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约1636.01㎡</w:t>
            </w:r>
          </w:p>
        </w:tc>
        <w:tc>
          <w:tcPr>
            <w:tcW w:w="1230" w:type="dxa"/>
            <w:vMerge w:val="continue"/>
            <w:tcBorders>
              <w:left w:val="single" w:color="000000" w:sz="4" w:space="0"/>
              <w:right w:val="single" w:color="auto" w:sz="4" w:space="0"/>
            </w:tcBorders>
            <w:noWrap w:val="0"/>
            <w:vAlign w:val="center"/>
          </w:tcPr>
          <w:p w14:paraId="7E5507E6">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right w:val="single" w:color="auto" w:sz="4" w:space="0"/>
            </w:tcBorders>
            <w:noWrap w:val="0"/>
            <w:vAlign w:val="center"/>
          </w:tcPr>
          <w:p w14:paraId="4537C7CA">
            <w:pPr>
              <w:keepNext w:val="0"/>
              <w:keepLines w:val="0"/>
              <w:suppressLineNumbers w:val="0"/>
              <w:spacing w:before="0" w:beforeAutospacing="0" w:after="0" w:afterAutospacing="0" w:line="300" w:lineRule="exact"/>
              <w:ind w:left="0" w:right="0"/>
              <w:jc w:val="center"/>
              <w:rPr>
                <w:rFonts w:hint="default"/>
                <w:szCs w:val="20"/>
              </w:rPr>
            </w:pPr>
          </w:p>
        </w:tc>
      </w:tr>
      <w:tr w14:paraId="31D02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5" w:type="dxa"/>
            <w:vMerge w:val="continue"/>
            <w:tcBorders>
              <w:left w:val="single" w:color="auto" w:sz="4" w:space="0"/>
              <w:bottom w:val="single" w:color="000000" w:sz="4" w:space="0"/>
              <w:right w:val="single" w:color="000000" w:sz="4" w:space="0"/>
            </w:tcBorders>
            <w:noWrap w:val="0"/>
            <w:vAlign w:val="center"/>
          </w:tcPr>
          <w:p w14:paraId="5922DFF1">
            <w:pPr>
              <w:keepNext w:val="0"/>
              <w:keepLines w:val="0"/>
              <w:suppressLineNumbers w:val="0"/>
              <w:spacing w:before="0" w:beforeAutospacing="0" w:after="0" w:afterAutospacing="0" w:line="300" w:lineRule="exact"/>
              <w:ind w:left="0" w:right="0"/>
              <w:jc w:val="center"/>
              <w:rPr>
                <w:rFonts w:hint="default"/>
                <w:szCs w:val="20"/>
              </w:rPr>
            </w:pPr>
          </w:p>
        </w:tc>
        <w:tc>
          <w:tcPr>
            <w:tcW w:w="3245" w:type="dxa"/>
            <w:vMerge w:val="continue"/>
            <w:tcBorders>
              <w:left w:val="single" w:color="000000" w:sz="4" w:space="0"/>
              <w:bottom w:val="single" w:color="000000" w:sz="4" w:space="0"/>
              <w:right w:val="single" w:color="000000" w:sz="4" w:space="0"/>
            </w:tcBorders>
            <w:noWrap w:val="0"/>
            <w:vAlign w:val="center"/>
          </w:tcPr>
          <w:p w14:paraId="1EE76E35">
            <w:pPr>
              <w:keepNext w:val="0"/>
              <w:keepLines w:val="0"/>
              <w:suppressLineNumbers w:val="0"/>
              <w:spacing w:before="0" w:beforeAutospacing="0" w:after="0" w:afterAutospacing="0" w:line="300" w:lineRule="exact"/>
              <w:ind w:left="0" w:right="0"/>
              <w:jc w:val="center"/>
              <w:rPr>
                <w:rFonts w:hint="default"/>
                <w:szCs w:val="20"/>
              </w:rPr>
            </w:pPr>
          </w:p>
        </w:tc>
        <w:tc>
          <w:tcPr>
            <w:tcW w:w="2204" w:type="dxa"/>
            <w:tcBorders>
              <w:top w:val="single" w:color="000000" w:sz="4" w:space="0"/>
              <w:left w:val="single" w:color="000000" w:sz="4" w:space="0"/>
              <w:bottom w:val="single" w:color="000000" w:sz="4" w:space="0"/>
              <w:right w:val="single" w:color="000000" w:sz="4" w:space="0"/>
            </w:tcBorders>
            <w:noWrap w:val="0"/>
            <w:vAlign w:val="center"/>
          </w:tcPr>
          <w:p w14:paraId="6CC9FD68">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bCs/>
                <w:sz w:val="24"/>
                <w:szCs w:val="24"/>
                <w:highlight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906E0E5">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约2375.38㎡</w:t>
            </w:r>
          </w:p>
        </w:tc>
        <w:tc>
          <w:tcPr>
            <w:tcW w:w="1230" w:type="dxa"/>
            <w:vMerge w:val="continue"/>
            <w:tcBorders>
              <w:left w:val="single" w:color="000000" w:sz="4" w:space="0"/>
              <w:bottom w:val="single" w:color="000000" w:sz="4" w:space="0"/>
              <w:right w:val="single" w:color="auto" w:sz="4" w:space="0"/>
            </w:tcBorders>
            <w:noWrap w:val="0"/>
            <w:vAlign w:val="center"/>
          </w:tcPr>
          <w:p w14:paraId="64E6E1CB">
            <w:pPr>
              <w:keepNext w:val="0"/>
              <w:keepLines w:val="0"/>
              <w:suppressLineNumbers w:val="0"/>
              <w:spacing w:before="0" w:beforeAutospacing="0" w:after="0" w:afterAutospacing="0" w:line="300" w:lineRule="exact"/>
              <w:ind w:left="0" w:right="0"/>
              <w:jc w:val="center"/>
              <w:rPr>
                <w:rFonts w:hint="default"/>
                <w:szCs w:val="20"/>
              </w:rPr>
            </w:pPr>
          </w:p>
        </w:tc>
        <w:tc>
          <w:tcPr>
            <w:tcW w:w="1003" w:type="dxa"/>
            <w:vMerge w:val="continue"/>
            <w:tcBorders>
              <w:left w:val="nil"/>
              <w:bottom w:val="single" w:color="000000" w:sz="4" w:space="0"/>
              <w:right w:val="single" w:color="auto" w:sz="4" w:space="0"/>
            </w:tcBorders>
            <w:noWrap w:val="0"/>
            <w:vAlign w:val="center"/>
          </w:tcPr>
          <w:p w14:paraId="78241B73">
            <w:pPr>
              <w:keepNext w:val="0"/>
              <w:keepLines w:val="0"/>
              <w:suppressLineNumbers w:val="0"/>
              <w:spacing w:before="0" w:beforeAutospacing="0" w:after="0" w:afterAutospacing="0" w:line="300" w:lineRule="exact"/>
              <w:ind w:left="0" w:right="0"/>
              <w:jc w:val="center"/>
              <w:rPr>
                <w:rFonts w:hint="default"/>
                <w:szCs w:val="20"/>
              </w:rPr>
            </w:pPr>
          </w:p>
        </w:tc>
      </w:tr>
      <w:tr w14:paraId="74617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10070" w:type="dxa"/>
            <w:gridSpan w:val="6"/>
            <w:tcBorders>
              <w:top w:val="single" w:color="000000" w:sz="4" w:space="0"/>
              <w:left w:val="single" w:color="auto" w:sz="4" w:space="0"/>
              <w:bottom w:val="single" w:color="000000" w:sz="4" w:space="0"/>
              <w:right w:val="single" w:color="auto" w:sz="4" w:space="0"/>
            </w:tcBorders>
            <w:noWrap w:val="0"/>
            <w:vAlign w:val="center"/>
          </w:tcPr>
          <w:p w14:paraId="6AB5A497">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租期5年，租金（不含税）一年一付，先付后用，第1-3年租金不变，第4-5年租金在第3年租金基础上递增3%。</w:t>
            </w:r>
          </w:p>
          <w:p w14:paraId="312743CE">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商业，禁止噪音行业入驻（如KTV等）</w:t>
            </w:r>
            <w:r>
              <w:rPr>
                <w:rFonts w:hint="eastAsia" w:ascii="宋体" w:hAnsi="宋体" w:eastAsia="宋体" w:cs="宋体"/>
                <w:kern w:val="0"/>
                <w:sz w:val="24"/>
                <w:szCs w:val="24"/>
                <w:lang w:val="en-US" w:eastAsia="zh-CN" w:bidi="ar"/>
              </w:rPr>
              <w:t>。</w:t>
            </w:r>
          </w:p>
          <w:p w14:paraId="1DE657B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3.装修</w:t>
            </w:r>
            <w:r>
              <w:rPr>
                <w:rFonts w:hint="eastAsia" w:ascii="宋体" w:hAnsi="宋体" w:eastAsia="宋体" w:cs="宋体"/>
                <w:kern w:val="0"/>
                <w:sz w:val="24"/>
                <w:szCs w:val="24"/>
                <w:lang w:val="en-US" w:eastAsia="zh-CN" w:bidi="ar"/>
              </w:rPr>
              <w:t>期</w:t>
            </w:r>
            <w:r>
              <w:rPr>
                <w:rFonts w:hint="eastAsia" w:ascii="宋体" w:hAnsi="宋体" w:cs="宋体"/>
                <w:kern w:val="0"/>
                <w:sz w:val="24"/>
                <w:szCs w:val="24"/>
                <w:lang w:val="en-US" w:eastAsia="zh-CN" w:bidi="ar"/>
              </w:rPr>
              <w:t>2个月</w:t>
            </w:r>
            <w:r>
              <w:rPr>
                <w:rFonts w:hint="eastAsia" w:ascii="宋体" w:hAnsi="宋体" w:eastAsia="宋体" w:cs="宋体"/>
                <w:kern w:val="0"/>
                <w:sz w:val="24"/>
                <w:szCs w:val="24"/>
                <w:lang w:val="en-US" w:eastAsia="zh-CN" w:bidi="ar"/>
              </w:rPr>
              <w:t>，不计租金及租期。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2026年3月25日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1552;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具体租赁事项以竞得人与温州市龙湾区沙城街道永寿村集体经济组织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温州市龙湾区沙城街道永寿村集体经济组织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不变</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3"/>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3"/>
        <w:rPr>
          <w:rFonts w:hint="eastAsia"/>
        </w:rPr>
      </w:pPr>
    </w:p>
    <w:p w14:paraId="1C010720">
      <w:pPr>
        <w:rPr>
          <w:rFonts w:hint="eastAsia"/>
        </w:rPr>
      </w:pPr>
    </w:p>
    <w:p w14:paraId="59B2FD89">
      <w:pPr>
        <w:pStyle w:val="3"/>
        <w:rPr>
          <w:rFonts w:hint="eastAsia"/>
        </w:rPr>
      </w:pPr>
    </w:p>
    <w:p w14:paraId="771E12EE">
      <w:pPr>
        <w:rPr>
          <w:rFonts w:hint="eastAsia"/>
        </w:rPr>
      </w:pPr>
    </w:p>
    <w:p w14:paraId="3790CCCC">
      <w:pPr>
        <w:pStyle w:val="3"/>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26317"/>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11620</Words>
  <Characters>12035</Characters>
  <Lines>74</Lines>
  <Paragraphs>20</Paragraphs>
  <TotalTime>3</TotalTime>
  <ScaleCrop>false</ScaleCrop>
  <LinksUpToDate>false</LinksUpToDate>
  <CharactersWithSpaces>13286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2026-03-25T06:23:18Z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B37B055E0A1647B0AB978C99349F58C5_13</vt:lpwstr>
  </property>
  <property fmtid="{D5CDD505-2E9C-101B-9397-08002B2CF9AE}" pid="4" name="KSOTemplateDocerSaveRecord">
    <vt:lpwstr>eyJoZGlkIjoiMzliZTcxZWRiNjFmZWQ4ZjRmNzU3ZTczMWNkZDI0MGUiLCJ1c2VySWQiOiI0MTM3NTMxODMifQ==</vt:lpwstr>
  </property>
</Properties>
</file>