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温州经济技术开发区滨海园区C407地块标准厂房五年租赁权竞价文件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99FA857">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温州经济技术开发区滨海园区C407地块标准厂房五年</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2026年4月14日上午9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温州经济技术开发区滨海园区C407地块标准厂房五年租赁权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3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3000"/>
        <w:gridCol w:w="2010"/>
        <w:gridCol w:w="1710"/>
        <w:gridCol w:w="1380"/>
        <w:gridCol w:w="1108"/>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9"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720" w:type="dxa"/>
            <w:gridSpan w:val="2"/>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8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08"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09" w:type="dxa"/>
            <w:vMerge w:val="restart"/>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3000" w:type="dxa"/>
            <w:vMerge w:val="restart"/>
            <w:tcBorders>
              <w:top w:val="single" w:color="000000" w:sz="4" w:space="0"/>
              <w:left w:val="single" w:color="000000" w:sz="4" w:space="0"/>
              <w:right w:val="single" w:color="000000" w:sz="4" w:space="0"/>
            </w:tcBorders>
            <w:noWrap w:val="0"/>
            <w:vAlign w:val="center"/>
          </w:tcPr>
          <w:p w14:paraId="313D1ED6">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温州经济技术开发区滨海园区C407地块标准厂房</w:t>
            </w:r>
            <w:r>
              <w:rPr>
                <w:rFonts w:hint="eastAsia" w:ascii="宋体" w:hAnsi="宋体" w:eastAsia="宋体" w:cs="宋体"/>
                <w:bCs/>
                <w:sz w:val="24"/>
                <w:szCs w:val="24"/>
                <w:highlight w:val="none"/>
                <w:lang w:val="en-US" w:eastAsia="zh-CN"/>
              </w:rPr>
              <w:t>五年租赁权</w:t>
            </w:r>
            <w:r>
              <w:rPr>
                <w:rFonts w:hint="eastAsia" w:ascii="宋体" w:hAnsi="宋体" w:eastAsia="宋体" w:cs="宋体"/>
                <w:bCs/>
                <w:kern w:val="2"/>
                <w:sz w:val="24"/>
                <w:szCs w:val="24"/>
                <w:highlight w:val="none"/>
                <w:u w:val="none"/>
                <w:lang w:val="en-US" w:eastAsia="zh-CN" w:bidi="ar-SA"/>
              </w:rPr>
              <w:t xml:space="preserve">    </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50C33A5C">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车间厂房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6379780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4877.33㎡</w:t>
            </w:r>
          </w:p>
        </w:tc>
        <w:tc>
          <w:tcPr>
            <w:tcW w:w="1380" w:type="dxa"/>
            <w:vMerge w:val="restart"/>
            <w:tcBorders>
              <w:top w:val="single" w:color="000000" w:sz="4" w:space="0"/>
              <w:left w:val="single" w:color="000000" w:sz="4" w:space="0"/>
              <w:right w:val="single" w:color="auto" w:sz="4" w:space="0"/>
            </w:tcBorders>
            <w:noWrap w:val="0"/>
            <w:vAlign w:val="center"/>
          </w:tcPr>
          <w:p w14:paraId="5BB592C8">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1770312元      </w:t>
            </w:r>
          </w:p>
        </w:tc>
        <w:tc>
          <w:tcPr>
            <w:tcW w:w="1108" w:type="dxa"/>
            <w:vMerge w:val="restart"/>
            <w:tcBorders>
              <w:top w:val="single" w:color="000000" w:sz="4" w:space="0"/>
              <w:left w:val="nil"/>
              <w:right w:val="single" w:color="auto" w:sz="4" w:space="0"/>
            </w:tcBorders>
            <w:noWrap w:val="0"/>
            <w:vAlign w:val="center"/>
          </w:tcPr>
          <w:p w14:paraId="0AAE57EE">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260万元     </w:t>
            </w:r>
          </w:p>
        </w:tc>
      </w:tr>
      <w:tr w14:paraId="05965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09" w:type="dxa"/>
            <w:vMerge w:val="continue"/>
            <w:tcBorders>
              <w:left w:val="single" w:color="auto" w:sz="4" w:space="0"/>
              <w:right w:val="single" w:color="000000" w:sz="4" w:space="0"/>
            </w:tcBorders>
            <w:noWrap w:val="0"/>
            <w:vAlign w:val="center"/>
          </w:tcPr>
          <w:p w14:paraId="5EA9E8C3">
            <w:pPr>
              <w:keepNext w:val="0"/>
              <w:keepLines w:val="0"/>
              <w:suppressLineNumbers w:val="0"/>
              <w:spacing w:before="0" w:beforeAutospacing="0" w:after="0" w:afterAutospacing="0" w:line="300" w:lineRule="exact"/>
              <w:ind w:left="0" w:right="0"/>
              <w:jc w:val="center"/>
              <w:rPr>
                <w:rFonts w:hint="default"/>
                <w:szCs w:val="20"/>
              </w:rPr>
            </w:pPr>
          </w:p>
        </w:tc>
        <w:tc>
          <w:tcPr>
            <w:tcW w:w="3000" w:type="dxa"/>
            <w:vMerge w:val="continue"/>
            <w:tcBorders>
              <w:left w:val="single" w:color="000000" w:sz="4" w:space="0"/>
              <w:right w:val="single" w:color="000000" w:sz="4" w:space="0"/>
            </w:tcBorders>
            <w:noWrap w:val="0"/>
            <w:vAlign w:val="center"/>
          </w:tcPr>
          <w:p w14:paraId="79FE1CD4">
            <w:pPr>
              <w:keepNext w:val="0"/>
              <w:keepLines w:val="0"/>
              <w:suppressLineNumbers w:val="0"/>
              <w:spacing w:before="0" w:beforeAutospacing="0" w:after="0" w:afterAutospacing="0" w:line="300" w:lineRule="exact"/>
              <w:ind w:left="0" w:right="0"/>
              <w:jc w:val="center"/>
              <w:rPr>
                <w:rFonts w:hint="default"/>
                <w:szCs w:val="20"/>
              </w:rPr>
            </w:pP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0707A64E">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sz w:val="24"/>
                <w:szCs w:val="24"/>
              </w:rPr>
              <w:t>研发车间及门卫</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5D2B1159">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cs="宋体"/>
                <w:sz w:val="24"/>
                <w:szCs w:val="24"/>
                <w:lang w:val="en-US" w:eastAsia="zh-CN"/>
              </w:rPr>
              <w:t>约</w:t>
            </w:r>
            <w:r>
              <w:rPr>
                <w:rFonts w:hint="eastAsia" w:ascii="宋体" w:hAnsi="宋体" w:eastAsia="宋体" w:cs="宋体"/>
                <w:sz w:val="24"/>
                <w:szCs w:val="24"/>
              </w:rPr>
              <w:t>3091.48㎡</w:t>
            </w:r>
          </w:p>
        </w:tc>
        <w:tc>
          <w:tcPr>
            <w:tcW w:w="1380" w:type="dxa"/>
            <w:vMerge w:val="continue"/>
            <w:tcBorders>
              <w:left w:val="single" w:color="000000" w:sz="4" w:space="0"/>
              <w:right w:val="single" w:color="auto" w:sz="4" w:space="0"/>
            </w:tcBorders>
            <w:noWrap w:val="0"/>
            <w:vAlign w:val="center"/>
          </w:tcPr>
          <w:p w14:paraId="622EE553">
            <w:pPr>
              <w:keepNext w:val="0"/>
              <w:keepLines w:val="0"/>
              <w:suppressLineNumbers w:val="0"/>
              <w:spacing w:before="0" w:beforeAutospacing="0" w:after="0" w:afterAutospacing="0" w:line="300" w:lineRule="exact"/>
              <w:ind w:left="0" w:right="0"/>
              <w:jc w:val="center"/>
              <w:rPr>
                <w:rFonts w:hint="default"/>
                <w:szCs w:val="20"/>
              </w:rPr>
            </w:pPr>
          </w:p>
        </w:tc>
        <w:tc>
          <w:tcPr>
            <w:tcW w:w="1108" w:type="dxa"/>
            <w:vMerge w:val="continue"/>
            <w:tcBorders>
              <w:left w:val="nil"/>
              <w:right w:val="single" w:color="auto" w:sz="4" w:space="0"/>
            </w:tcBorders>
            <w:noWrap w:val="0"/>
            <w:vAlign w:val="center"/>
          </w:tcPr>
          <w:p w14:paraId="47427A9E">
            <w:pPr>
              <w:keepNext w:val="0"/>
              <w:keepLines w:val="0"/>
              <w:suppressLineNumbers w:val="0"/>
              <w:spacing w:before="0" w:beforeAutospacing="0" w:after="0" w:afterAutospacing="0" w:line="300" w:lineRule="exact"/>
              <w:ind w:left="0" w:right="0"/>
              <w:jc w:val="center"/>
              <w:rPr>
                <w:rFonts w:hint="default"/>
                <w:szCs w:val="20"/>
              </w:rPr>
            </w:pPr>
          </w:p>
        </w:tc>
      </w:tr>
      <w:tr w14:paraId="5A09C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09" w:type="dxa"/>
            <w:vMerge w:val="continue"/>
            <w:tcBorders>
              <w:left w:val="single" w:color="auto" w:sz="4" w:space="0"/>
              <w:right w:val="single" w:color="000000" w:sz="4" w:space="0"/>
            </w:tcBorders>
            <w:noWrap w:val="0"/>
            <w:vAlign w:val="center"/>
          </w:tcPr>
          <w:p w14:paraId="4B3DBA55">
            <w:pPr>
              <w:keepNext w:val="0"/>
              <w:keepLines w:val="0"/>
              <w:suppressLineNumbers w:val="0"/>
              <w:spacing w:before="0" w:beforeAutospacing="0" w:after="0" w:afterAutospacing="0" w:line="300" w:lineRule="exact"/>
              <w:ind w:left="0" w:right="0"/>
              <w:jc w:val="center"/>
              <w:rPr>
                <w:rFonts w:hint="default"/>
                <w:szCs w:val="20"/>
              </w:rPr>
            </w:pPr>
          </w:p>
        </w:tc>
        <w:tc>
          <w:tcPr>
            <w:tcW w:w="3000" w:type="dxa"/>
            <w:vMerge w:val="continue"/>
            <w:tcBorders>
              <w:left w:val="single" w:color="000000" w:sz="4" w:space="0"/>
              <w:right w:val="single" w:color="000000" w:sz="4" w:space="0"/>
            </w:tcBorders>
            <w:noWrap w:val="0"/>
            <w:vAlign w:val="center"/>
          </w:tcPr>
          <w:p w14:paraId="73BEB10C">
            <w:pPr>
              <w:keepNext w:val="0"/>
              <w:keepLines w:val="0"/>
              <w:suppressLineNumbers w:val="0"/>
              <w:spacing w:before="0" w:beforeAutospacing="0" w:after="0" w:afterAutospacing="0" w:line="300" w:lineRule="exact"/>
              <w:ind w:left="0" w:right="0"/>
              <w:jc w:val="center"/>
              <w:rPr>
                <w:rFonts w:hint="default"/>
                <w:szCs w:val="20"/>
              </w:rPr>
            </w:pP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6939282F">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合计</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76AEFFBA">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约7968.81㎡</w:t>
            </w:r>
          </w:p>
        </w:tc>
        <w:tc>
          <w:tcPr>
            <w:tcW w:w="1380" w:type="dxa"/>
            <w:vMerge w:val="continue"/>
            <w:tcBorders>
              <w:left w:val="single" w:color="000000" w:sz="4" w:space="0"/>
              <w:right w:val="single" w:color="auto" w:sz="4" w:space="0"/>
            </w:tcBorders>
            <w:noWrap w:val="0"/>
            <w:vAlign w:val="center"/>
          </w:tcPr>
          <w:p w14:paraId="4959333C">
            <w:pPr>
              <w:keepNext w:val="0"/>
              <w:keepLines w:val="0"/>
              <w:suppressLineNumbers w:val="0"/>
              <w:spacing w:before="0" w:beforeAutospacing="0" w:after="0" w:afterAutospacing="0" w:line="300" w:lineRule="exact"/>
              <w:ind w:left="0" w:right="0"/>
              <w:jc w:val="center"/>
              <w:rPr>
                <w:rFonts w:hint="default"/>
                <w:szCs w:val="20"/>
              </w:rPr>
            </w:pPr>
          </w:p>
        </w:tc>
        <w:tc>
          <w:tcPr>
            <w:tcW w:w="1108" w:type="dxa"/>
            <w:vMerge w:val="continue"/>
            <w:tcBorders>
              <w:left w:val="nil"/>
              <w:right w:val="single" w:color="auto" w:sz="4" w:space="0"/>
            </w:tcBorders>
            <w:noWrap w:val="0"/>
            <w:vAlign w:val="center"/>
          </w:tcPr>
          <w:p w14:paraId="1830845D">
            <w:pPr>
              <w:keepNext w:val="0"/>
              <w:keepLines w:val="0"/>
              <w:suppressLineNumbers w:val="0"/>
              <w:spacing w:before="0" w:beforeAutospacing="0" w:after="0" w:afterAutospacing="0" w:line="300" w:lineRule="exact"/>
              <w:ind w:left="0" w:right="0"/>
              <w:jc w:val="center"/>
              <w:rPr>
                <w:rFonts w:hint="default"/>
                <w:szCs w:val="20"/>
              </w:rPr>
            </w:pP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jc w:val="center"/>
        </w:trPr>
        <w:tc>
          <w:tcPr>
            <w:tcW w:w="9917" w:type="dxa"/>
            <w:gridSpan w:val="6"/>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租期5年，第1-3年租金为竞价成交价，第4-5年租金在第3年租金基础上递增1%，租金（不含税）首次支付第1-2年租金总额，第3年起一年一付，先付后用。</w:t>
            </w:r>
          </w:p>
          <w:p w14:paraId="484FF84E">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装修期1个月，不计租金及租期，成交之日次日开始计算。</w:t>
            </w:r>
          </w:p>
          <w:p w14:paraId="4130F07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经营业态：工业</w:t>
            </w:r>
            <w:r>
              <w:rPr>
                <w:rFonts w:hint="eastAsia" w:ascii="宋体" w:hAnsi="宋体" w:cs="宋体"/>
                <w:kern w:val="0"/>
                <w:sz w:val="24"/>
                <w:szCs w:val="24"/>
                <w:lang w:val="en-US" w:eastAsia="zh-CN" w:bidi="ar"/>
              </w:rPr>
              <w:t>。</w:t>
            </w:r>
          </w:p>
          <w:p w14:paraId="5D8C3D6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4.标的物内供水供电等设备设施的审批及建设均由竞得人自行实施，所产生的一切费用、风险及相关责任均由竞得人自行承担。</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沧宁村C407</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为50万元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温州市龙湾区沙城街道沧宁村集体经济组织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温州市龙湾区沙城街道沧宁村集体经济组织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2820"/>
        <w:gridCol w:w="1971"/>
        <w:gridCol w:w="1678"/>
        <w:gridCol w:w="1380"/>
        <w:gridCol w:w="1108"/>
      </w:tblGrid>
      <w:tr w14:paraId="6F11D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7" w:type="dxa"/>
            <w:tcBorders>
              <w:top w:val="single" w:color="000000" w:sz="4" w:space="0"/>
              <w:left w:val="single" w:color="auto" w:sz="4" w:space="0"/>
              <w:bottom w:val="single" w:color="000000" w:sz="4" w:space="0"/>
              <w:right w:val="single" w:color="000000" w:sz="4" w:space="0"/>
            </w:tcBorders>
            <w:noWrap w:val="0"/>
            <w:vAlign w:val="center"/>
          </w:tcPr>
          <w:p w14:paraId="37A5ED0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2820" w:type="dxa"/>
            <w:tcBorders>
              <w:top w:val="single" w:color="000000" w:sz="4" w:space="0"/>
              <w:left w:val="single" w:color="000000" w:sz="4" w:space="0"/>
              <w:bottom w:val="single" w:color="000000" w:sz="4" w:space="0"/>
              <w:right w:val="single" w:color="000000" w:sz="4" w:space="0"/>
            </w:tcBorders>
            <w:noWrap w:val="0"/>
            <w:vAlign w:val="center"/>
          </w:tcPr>
          <w:p w14:paraId="6A6175F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649" w:type="dxa"/>
            <w:gridSpan w:val="2"/>
            <w:tcBorders>
              <w:top w:val="single" w:color="000000" w:sz="4" w:space="0"/>
              <w:left w:val="single" w:color="000000" w:sz="4" w:space="0"/>
              <w:bottom w:val="single" w:color="000000" w:sz="4" w:space="0"/>
              <w:right w:val="single" w:color="000000" w:sz="4" w:space="0"/>
            </w:tcBorders>
            <w:noWrap w:val="0"/>
            <w:vAlign w:val="center"/>
          </w:tcPr>
          <w:p w14:paraId="4A993C4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80" w:type="dxa"/>
            <w:tcBorders>
              <w:top w:val="single" w:color="000000" w:sz="4" w:space="0"/>
              <w:left w:val="single" w:color="000000" w:sz="4" w:space="0"/>
              <w:bottom w:val="single" w:color="000000" w:sz="4" w:space="0"/>
              <w:right w:val="single" w:color="auto" w:sz="4" w:space="0"/>
            </w:tcBorders>
            <w:noWrap w:val="0"/>
            <w:vAlign w:val="center"/>
          </w:tcPr>
          <w:p w14:paraId="7360510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3A3FF3F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08" w:type="dxa"/>
            <w:tcBorders>
              <w:top w:val="single" w:color="000000" w:sz="4" w:space="0"/>
              <w:left w:val="nil"/>
              <w:bottom w:val="single" w:color="000000" w:sz="4" w:space="0"/>
              <w:right w:val="single" w:color="auto" w:sz="4" w:space="0"/>
            </w:tcBorders>
            <w:noWrap w:val="0"/>
            <w:vAlign w:val="center"/>
          </w:tcPr>
          <w:p w14:paraId="2F8A868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A42F2B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960B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7" w:type="dxa"/>
            <w:vMerge w:val="restart"/>
            <w:tcBorders>
              <w:top w:val="single" w:color="000000" w:sz="4" w:space="0"/>
              <w:left w:val="single" w:color="auto" w:sz="4" w:space="0"/>
              <w:right w:val="single" w:color="000000" w:sz="4" w:space="0"/>
            </w:tcBorders>
            <w:noWrap w:val="0"/>
            <w:vAlign w:val="center"/>
          </w:tcPr>
          <w:p w14:paraId="091716C0">
            <w:pPr>
              <w:keepNext w:val="0"/>
              <w:keepLines w:val="0"/>
              <w:suppressLineNumbers w:val="0"/>
              <w:spacing w:before="0" w:beforeAutospacing="0" w:after="0" w:afterAutospacing="0" w:line="320" w:lineRule="exact"/>
              <w:ind w:left="0" w:leftChars="0" w:right="0" w:right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2820" w:type="dxa"/>
            <w:vMerge w:val="restart"/>
            <w:tcBorders>
              <w:top w:val="single" w:color="000000" w:sz="4" w:space="0"/>
              <w:left w:val="single" w:color="000000" w:sz="4" w:space="0"/>
              <w:right w:val="single" w:color="000000" w:sz="4" w:space="0"/>
            </w:tcBorders>
            <w:noWrap w:val="0"/>
            <w:vAlign w:val="center"/>
          </w:tcPr>
          <w:p w14:paraId="5E93B793">
            <w:pPr>
              <w:keepNext w:val="0"/>
              <w:keepLines w:val="0"/>
              <w:suppressLineNumbers w:val="0"/>
              <w:spacing w:before="0" w:beforeAutospacing="0" w:after="0" w:afterAutospacing="0" w:line="300" w:lineRule="exact"/>
              <w:ind w:left="0" w:leftChars="0" w:right="0" w:rightChars="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温州经济技术开发区滨海园区C407地块标准厂房</w:t>
            </w:r>
            <w:r>
              <w:rPr>
                <w:rFonts w:hint="eastAsia" w:ascii="宋体" w:hAnsi="宋体" w:eastAsia="宋体" w:cs="宋体"/>
                <w:bCs/>
                <w:sz w:val="24"/>
                <w:szCs w:val="24"/>
                <w:highlight w:val="none"/>
                <w:lang w:val="en-US" w:eastAsia="zh-CN"/>
              </w:rPr>
              <w:t>五年租赁权</w:t>
            </w:r>
            <w:r>
              <w:rPr>
                <w:rFonts w:hint="eastAsia" w:ascii="宋体" w:hAnsi="宋体" w:eastAsia="宋体" w:cs="宋体"/>
                <w:bCs/>
                <w:kern w:val="2"/>
                <w:sz w:val="24"/>
                <w:szCs w:val="24"/>
                <w:highlight w:val="none"/>
                <w:u w:val="none"/>
                <w:lang w:val="en-US" w:eastAsia="zh-CN" w:bidi="ar-SA"/>
              </w:rPr>
              <w:t xml:space="preserve">    </w:t>
            </w:r>
          </w:p>
        </w:tc>
        <w:tc>
          <w:tcPr>
            <w:tcW w:w="1971" w:type="dxa"/>
            <w:tcBorders>
              <w:top w:val="single" w:color="000000" w:sz="4" w:space="0"/>
              <w:left w:val="single" w:color="000000" w:sz="4" w:space="0"/>
              <w:bottom w:val="single" w:color="000000" w:sz="4" w:space="0"/>
              <w:right w:val="single" w:color="000000" w:sz="4" w:space="0"/>
            </w:tcBorders>
            <w:noWrap w:val="0"/>
            <w:vAlign w:val="center"/>
          </w:tcPr>
          <w:p w14:paraId="370417BE">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车间厂房    </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AE20174">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4877.33㎡</w:t>
            </w:r>
          </w:p>
        </w:tc>
        <w:tc>
          <w:tcPr>
            <w:tcW w:w="1380" w:type="dxa"/>
            <w:vMerge w:val="restart"/>
            <w:tcBorders>
              <w:top w:val="single" w:color="000000" w:sz="4" w:space="0"/>
              <w:left w:val="single" w:color="000000" w:sz="4" w:space="0"/>
              <w:right w:val="single" w:color="auto" w:sz="4" w:space="0"/>
            </w:tcBorders>
            <w:noWrap w:val="0"/>
            <w:vAlign w:val="center"/>
          </w:tcPr>
          <w:p w14:paraId="4271F757">
            <w:pPr>
              <w:keepNext w:val="0"/>
              <w:keepLines w:val="0"/>
              <w:suppressLineNumbers w:val="0"/>
              <w:spacing w:before="0" w:beforeAutospacing="0" w:after="0" w:afterAutospacing="0" w:line="300" w:lineRule="exact"/>
              <w:ind w:left="0" w:leftChars="0" w:right="0" w:rightChars="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1770312元      </w:t>
            </w:r>
          </w:p>
        </w:tc>
        <w:tc>
          <w:tcPr>
            <w:tcW w:w="1108" w:type="dxa"/>
            <w:vMerge w:val="restart"/>
            <w:tcBorders>
              <w:top w:val="single" w:color="000000" w:sz="4" w:space="0"/>
              <w:left w:val="nil"/>
              <w:right w:val="single" w:color="auto" w:sz="4" w:space="0"/>
            </w:tcBorders>
            <w:noWrap w:val="0"/>
            <w:vAlign w:val="center"/>
          </w:tcPr>
          <w:p w14:paraId="24AE2608">
            <w:pPr>
              <w:keepNext w:val="0"/>
              <w:keepLines w:val="0"/>
              <w:suppressLineNumbers w:val="0"/>
              <w:spacing w:before="0" w:beforeAutospacing="0" w:after="0" w:afterAutospacing="0" w:line="300" w:lineRule="exact"/>
              <w:ind w:left="0" w:leftChars="0" w:right="0" w:rightChars="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260万元     </w:t>
            </w:r>
          </w:p>
        </w:tc>
      </w:tr>
      <w:tr w14:paraId="278A0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7" w:type="dxa"/>
            <w:vMerge w:val="continue"/>
            <w:tcBorders>
              <w:left w:val="single" w:color="auto" w:sz="4" w:space="0"/>
              <w:right w:val="single" w:color="000000" w:sz="4" w:space="0"/>
            </w:tcBorders>
            <w:noWrap w:val="0"/>
            <w:vAlign w:val="center"/>
          </w:tcPr>
          <w:p w14:paraId="7D62240E">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2820" w:type="dxa"/>
            <w:vMerge w:val="continue"/>
            <w:tcBorders>
              <w:left w:val="single" w:color="000000" w:sz="4" w:space="0"/>
              <w:right w:val="single" w:color="000000" w:sz="4" w:space="0"/>
            </w:tcBorders>
            <w:noWrap w:val="0"/>
            <w:vAlign w:val="center"/>
          </w:tcPr>
          <w:p w14:paraId="08AE9F13">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971" w:type="dxa"/>
            <w:tcBorders>
              <w:top w:val="single" w:color="000000" w:sz="4" w:space="0"/>
              <w:left w:val="single" w:color="000000" w:sz="4" w:space="0"/>
              <w:bottom w:val="single" w:color="000000" w:sz="4" w:space="0"/>
              <w:right w:val="single" w:color="000000" w:sz="4" w:space="0"/>
            </w:tcBorders>
            <w:noWrap w:val="0"/>
            <w:vAlign w:val="center"/>
          </w:tcPr>
          <w:p w14:paraId="64D88A99">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研发车间及门卫</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56FED40">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sz w:val="24"/>
                <w:szCs w:val="24"/>
              </w:rPr>
            </w:pPr>
            <w:r>
              <w:rPr>
                <w:rFonts w:hint="eastAsia" w:ascii="宋体" w:hAnsi="宋体" w:cs="宋体"/>
                <w:sz w:val="24"/>
                <w:szCs w:val="24"/>
                <w:lang w:val="en-US" w:eastAsia="zh-CN"/>
              </w:rPr>
              <w:t>约</w:t>
            </w:r>
            <w:r>
              <w:rPr>
                <w:rFonts w:hint="eastAsia" w:ascii="宋体" w:hAnsi="宋体" w:eastAsia="宋体" w:cs="宋体"/>
                <w:sz w:val="24"/>
                <w:szCs w:val="24"/>
              </w:rPr>
              <w:t>3091.48㎡</w:t>
            </w:r>
          </w:p>
        </w:tc>
        <w:tc>
          <w:tcPr>
            <w:tcW w:w="1380" w:type="dxa"/>
            <w:vMerge w:val="continue"/>
            <w:tcBorders>
              <w:left w:val="single" w:color="000000" w:sz="4" w:space="0"/>
              <w:right w:val="single" w:color="auto" w:sz="4" w:space="0"/>
            </w:tcBorders>
            <w:noWrap w:val="0"/>
            <w:vAlign w:val="center"/>
          </w:tcPr>
          <w:p w14:paraId="013CCC7B">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108" w:type="dxa"/>
            <w:vMerge w:val="continue"/>
            <w:tcBorders>
              <w:left w:val="nil"/>
              <w:right w:val="single" w:color="auto" w:sz="4" w:space="0"/>
            </w:tcBorders>
            <w:noWrap w:val="0"/>
            <w:vAlign w:val="center"/>
          </w:tcPr>
          <w:p w14:paraId="7BBCE7AC">
            <w:pPr>
              <w:keepNext w:val="0"/>
              <w:keepLines w:val="0"/>
              <w:suppressLineNumbers w:val="0"/>
              <w:spacing w:before="0" w:beforeAutospacing="0" w:after="0" w:afterAutospacing="0" w:line="300" w:lineRule="exact"/>
              <w:ind w:left="0" w:leftChars="0" w:right="0" w:rightChars="0"/>
              <w:jc w:val="center"/>
              <w:rPr>
                <w:rFonts w:hint="default"/>
                <w:szCs w:val="20"/>
              </w:rPr>
            </w:pPr>
          </w:p>
        </w:tc>
      </w:tr>
      <w:tr w14:paraId="079B4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767" w:type="dxa"/>
            <w:vMerge w:val="continue"/>
            <w:tcBorders>
              <w:left w:val="single" w:color="auto" w:sz="4" w:space="0"/>
              <w:right w:val="single" w:color="000000" w:sz="4" w:space="0"/>
            </w:tcBorders>
            <w:noWrap w:val="0"/>
            <w:vAlign w:val="center"/>
          </w:tcPr>
          <w:p w14:paraId="23AD8D6F">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2820" w:type="dxa"/>
            <w:vMerge w:val="continue"/>
            <w:tcBorders>
              <w:left w:val="single" w:color="000000" w:sz="4" w:space="0"/>
              <w:right w:val="single" w:color="000000" w:sz="4" w:space="0"/>
            </w:tcBorders>
            <w:noWrap w:val="0"/>
            <w:vAlign w:val="center"/>
          </w:tcPr>
          <w:p w14:paraId="112DC245">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971" w:type="dxa"/>
            <w:tcBorders>
              <w:top w:val="single" w:color="000000" w:sz="4" w:space="0"/>
              <w:left w:val="single" w:color="000000" w:sz="4" w:space="0"/>
              <w:bottom w:val="single" w:color="000000" w:sz="4" w:space="0"/>
              <w:right w:val="single" w:color="000000" w:sz="4" w:space="0"/>
            </w:tcBorders>
            <w:noWrap w:val="0"/>
            <w:vAlign w:val="center"/>
          </w:tcPr>
          <w:p w14:paraId="43BA97F8">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lang w:val="en-US" w:eastAsia="zh-CN"/>
              </w:rPr>
              <w:t>合计</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DA09CD3">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约7968.81㎡</w:t>
            </w:r>
          </w:p>
        </w:tc>
        <w:tc>
          <w:tcPr>
            <w:tcW w:w="1380" w:type="dxa"/>
            <w:vMerge w:val="continue"/>
            <w:tcBorders>
              <w:left w:val="single" w:color="000000" w:sz="4" w:space="0"/>
              <w:right w:val="single" w:color="auto" w:sz="4" w:space="0"/>
            </w:tcBorders>
            <w:noWrap w:val="0"/>
            <w:vAlign w:val="center"/>
          </w:tcPr>
          <w:p w14:paraId="5591D288">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108" w:type="dxa"/>
            <w:vMerge w:val="continue"/>
            <w:tcBorders>
              <w:left w:val="nil"/>
              <w:right w:val="single" w:color="auto" w:sz="4" w:space="0"/>
            </w:tcBorders>
            <w:noWrap w:val="0"/>
            <w:vAlign w:val="center"/>
          </w:tcPr>
          <w:p w14:paraId="3C4B44E8">
            <w:pPr>
              <w:keepNext w:val="0"/>
              <w:keepLines w:val="0"/>
              <w:suppressLineNumbers w:val="0"/>
              <w:spacing w:before="0" w:beforeAutospacing="0" w:after="0" w:afterAutospacing="0" w:line="300" w:lineRule="exact"/>
              <w:ind w:left="0" w:leftChars="0" w:right="0" w:rightChars="0"/>
              <w:jc w:val="center"/>
              <w:rPr>
                <w:rFonts w:hint="default"/>
                <w:szCs w:val="20"/>
              </w:rPr>
            </w:pPr>
          </w:p>
        </w:tc>
      </w:tr>
      <w:tr w14:paraId="57AA4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0" w:hRule="atLeast"/>
          <w:jc w:val="center"/>
        </w:trPr>
        <w:tc>
          <w:tcPr>
            <w:tcW w:w="9724" w:type="dxa"/>
            <w:gridSpan w:val="6"/>
            <w:tcBorders>
              <w:top w:val="single" w:color="000000" w:sz="4" w:space="0"/>
              <w:left w:val="single" w:color="auto" w:sz="4" w:space="0"/>
              <w:bottom w:val="single" w:color="000000" w:sz="4" w:space="0"/>
              <w:right w:val="single" w:color="auto" w:sz="4" w:space="0"/>
            </w:tcBorders>
            <w:noWrap w:val="0"/>
            <w:vAlign w:val="center"/>
          </w:tcPr>
          <w:p w14:paraId="52F48B63">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租期5年，第1-3年租金为竞价成交价，第4-5年租金在第3年租金基础上递增1%，租金（不含税）首次支付第1-2年租金总额，第3年起一年一付，先付后用。</w:t>
            </w:r>
          </w:p>
          <w:p w14:paraId="16413392">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装修期1个月，不计租金及租期，成交之日次日开始计算。</w:t>
            </w:r>
          </w:p>
          <w:p w14:paraId="7961FA3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经营业态：工业</w:t>
            </w:r>
            <w:r>
              <w:rPr>
                <w:rFonts w:hint="eastAsia" w:ascii="宋体" w:hAnsi="宋体" w:cs="宋体"/>
                <w:kern w:val="0"/>
                <w:sz w:val="24"/>
                <w:szCs w:val="24"/>
                <w:lang w:val="en-US" w:eastAsia="zh-CN" w:bidi="ar"/>
              </w:rPr>
              <w:t>。</w:t>
            </w:r>
          </w:p>
          <w:p w14:paraId="7BB528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4.</w:t>
            </w:r>
            <w:r>
              <w:rPr>
                <w:rFonts w:hint="default" w:ascii="宋体" w:hAnsi="宋体" w:cs="宋体"/>
                <w:kern w:val="0"/>
                <w:sz w:val="24"/>
                <w:szCs w:val="24"/>
                <w:lang w:val="en-US" w:eastAsia="zh-CN" w:bidi="ar"/>
              </w:rPr>
              <w:t>标的物内供水供电等设备设施的审批及建设均由竞得人自行实施，所产生的一切费用、风险及相关责任均由竞得人自行承担。</w:t>
            </w:r>
            <w:bookmarkStart w:id="0" w:name="_GoBack"/>
            <w:bookmarkEnd w:id="0"/>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第1-2年租金总额、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1552;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租期5年，第1-3年租金为竞价成交价，第4-5年租金在第3年租金基础上递增1%，租金（不含税）首次支付第1-2年租金总额，第3年起一年一付，先付后用。</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第1-2</w:t>
      </w:r>
      <w:r>
        <w:rPr>
          <w:rFonts w:hint="eastAsia" w:ascii="宋体" w:hAnsi="宋体" w:eastAsia="宋体" w:cs="宋体"/>
          <w:color w:val="auto"/>
          <w:sz w:val="24"/>
          <w:szCs w:val="24"/>
          <w:u w:val="none"/>
          <w:lang w:eastAsia="zh-CN"/>
        </w:rPr>
        <w:t>年租金</w:t>
      </w:r>
      <w:r>
        <w:rPr>
          <w:rFonts w:hint="eastAsia" w:ascii="宋体" w:hAnsi="宋体" w:cs="宋体"/>
          <w:color w:val="auto"/>
          <w:sz w:val="24"/>
          <w:szCs w:val="24"/>
          <w:u w:val="none"/>
          <w:lang w:val="en-US" w:eastAsia="zh-CN"/>
        </w:rPr>
        <w:t>总额</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第1-2年租金总额</w:t>
      </w:r>
      <w:r>
        <w:rPr>
          <w:rFonts w:hint="eastAsia" w:ascii="宋体" w:hAnsi="宋体" w:eastAsia="宋体"/>
          <w:color w:val="auto"/>
          <w:sz w:val="24"/>
          <w:highlight w:val="none"/>
          <w:lang w:eastAsia="zh-CN"/>
        </w:rPr>
        <w:t>、租赁履约保证金及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具体租赁事项以竞得人与温州市龙湾区沙城街道沧宁村集体经济组织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温州市龙湾区沙城街道沧宁村集体经济组织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6.租期5年，第1-3年租金为竞价成交价，第4-5年租金在第3年租金基础上递增1%，租金（不含税）首次支付第1-2年租金总额，第3年起一年一付，先付后用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3"/>
        <w:rPr>
          <w:rFonts w:hint="eastAsia"/>
        </w:rPr>
      </w:pPr>
    </w:p>
    <w:p w14:paraId="2FDC920F">
      <w:pPr>
        <w:spacing w:line="380" w:lineRule="exact"/>
        <w:ind w:right="480"/>
        <w:rPr>
          <w:rFonts w:hint="eastAsia" w:ascii="宋体" w:hAnsi="宋体" w:cs="宋体"/>
          <w:sz w:val="24"/>
          <w:szCs w:val="24"/>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7F2730D"/>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467333"/>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18332F"/>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3B7D77"/>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CDB2AD3"/>
    <w:rsid w:val="7D1104FF"/>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11596</Words>
  <Characters>11928</Characters>
  <Lines>74</Lines>
  <Paragraphs>20</Paragraphs>
  <TotalTime>1</TotalTime>
  <ScaleCrop>false</ScaleCrop>
  <LinksUpToDate>false</LinksUpToDate>
  <CharactersWithSpaces>13217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小米</cp:lastModifiedBy>
  <cp:lastPrinted>2025-11-12T06:25:00Z</cp:lastPrinted>
  <dcterms:modified xsi:type="dcterms:W3CDTF">2026-04-02T00:34:51Z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1654366FDC384EB98286B776F0A008E2_13</vt:lpwstr>
  </property>
  <property fmtid="{D5CDD505-2E9C-101B-9397-08002B2CF9AE}" pid="4" name="KSOTemplateDocerSaveRecord">
    <vt:lpwstr>eyJoZGlkIjoiZWY3YzVmZWRlOTZkZTAyYmRiYmYxNjRkOTE5OWVjNGEiLCJ1c2VySWQiOiIzODY3MjAwMTYifQ==</vt:lpwstr>
  </property>
</Properties>
</file>