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559435</wp:posOffset>
            </wp:positionH>
            <wp:positionV relativeFrom="paragraph">
              <wp:posOffset>384810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温州市龙湾区永兴街道祠南村综合办公楼及沙田工业区三宗资产五年租赁权竞价文件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2026年4月10日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温州市龙湾区永兴街道祠南村综合办公楼及沙田工业区三宗资产五年租赁权竞价公告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bookmarkStart w:id="0" w:name="_GoBack"/>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bookmarkEnd w:id="0"/>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2026年4月20日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2026年4月21日上午10时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温州市龙湾区永兴街道祠南村综合办公楼及沙田工业区三宗资产五年租赁权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835"/>
        <w:gridCol w:w="1270"/>
        <w:gridCol w:w="1356"/>
        <w:gridCol w:w="2013"/>
        <w:gridCol w:w="1258"/>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35"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626" w:type="dxa"/>
            <w:gridSpan w:val="2"/>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2013"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58"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835" w:type="dxa"/>
            <w:vMerge w:val="restart"/>
            <w:tcBorders>
              <w:top w:val="single" w:color="000000" w:sz="4" w:space="0"/>
              <w:left w:val="single" w:color="000000" w:sz="4" w:space="0"/>
              <w:right w:val="single" w:color="000000" w:sz="4" w:space="0"/>
            </w:tcBorders>
            <w:noWrap w:val="0"/>
            <w:vAlign w:val="center"/>
          </w:tcPr>
          <w:p w14:paraId="5C1D9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温州市龙湾区永兴街道祠南村综合办公楼一楼北首3间及二至四层五年租赁权</w:t>
            </w:r>
          </w:p>
        </w:tc>
        <w:tc>
          <w:tcPr>
            <w:tcW w:w="1270"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一楼北首</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8694FC5">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约105㎡</w:t>
            </w:r>
          </w:p>
        </w:tc>
        <w:tc>
          <w:tcPr>
            <w:tcW w:w="2013" w:type="dxa"/>
            <w:vMerge w:val="restart"/>
            <w:tcBorders>
              <w:top w:val="single" w:color="000000" w:sz="4" w:space="0"/>
              <w:left w:val="single" w:color="000000" w:sz="4" w:space="0"/>
              <w:right w:val="single" w:color="auto" w:sz="4" w:space="0"/>
            </w:tcBorders>
            <w:noWrap w:val="0"/>
            <w:vAlign w:val="center"/>
          </w:tcPr>
          <w:p w14:paraId="2445E0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213000</w:t>
            </w:r>
            <w:r>
              <w:rPr>
                <w:rFonts w:hint="eastAsia" w:ascii="宋体" w:hAnsi="宋体" w:cs="宋体"/>
                <w:i w:val="0"/>
                <w:iCs w:val="0"/>
                <w:color w:val="000000"/>
                <w:kern w:val="0"/>
                <w:sz w:val="24"/>
                <w:szCs w:val="24"/>
                <w:u w:val="none"/>
                <w:lang w:val="en-US" w:eastAsia="zh-CN" w:bidi="ar"/>
              </w:rPr>
              <w:t>元</w:t>
            </w:r>
          </w:p>
        </w:tc>
        <w:tc>
          <w:tcPr>
            <w:tcW w:w="1258" w:type="dxa"/>
            <w:vMerge w:val="restart"/>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21万元</w:t>
            </w:r>
          </w:p>
        </w:tc>
      </w:tr>
      <w:tr w14:paraId="4AB41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758" w:type="dxa"/>
            <w:vMerge w:val="continue"/>
            <w:tcBorders>
              <w:left w:val="single" w:color="auto" w:sz="4" w:space="0"/>
              <w:right w:val="single" w:color="000000" w:sz="4" w:space="0"/>
            </w:tcBorders>
            <w:noWrap w:val="0"/>
            <w:vAlign w:val="center"/>
          </w:tcPr>
          <w:p w14:paraId="5204F3AE">
            <w:pPr>
              <w:keepNext w:val="0"/>
              <w:keepLines w:val="0"/>
              <w:suppressLineNumbers w:val="0"/>
              <w:spacing w:before="0" w:beforeAutospacing="0" w:after="0" w:afterAutospacing="0" w:line="300" w:lineRule="exact"/>
              <w:ind w:left="0" w:right="0"/>
              <w:jc w:val="center"/>
              <w:rPr>
                <w:rFonts w:hint="default"/>
                <w:szCs w:val="20"/>
              </w:rPr>
            </w:pPr>
          </w:p>
        </w:tc>
        <w:tc>
          <w:tcPr>
            <w:tcW w:w="3835" w:type="dxa"/>
            <w:vMerge w:val="continue"/>
            <w:tcBorders>
              <w:left w:val="single" w:color="000000" w:sz="4" w:space="0"/>
              <w:right w:val="single" w:color="000000" w:sz="4" w:space="0"/>
            </w:tcBorders>
            <w:noWrap w:val="0"/>
            <w:vAlign w:val="center"/>
          </w:tcPr>
          <w:p w14:paraId="5B10866B">
            <w:pPr>
              <w:keepNext w:val="0"/>
              <w:keepLines w:val="0"/>
              <w:suppressLineNumbers w:val="0"/>
              <w:spacing w:before="0" w:beforeAutospacing="0" w:after="0" w:afterAutospacing="0" w:line="300" w:lineRule="exact"/>
              <w:ind w:left="0" w:right="0"/>
              <w:jc w:val="center"/>
              <w:rPr>
                <w:rFonts w:hint="default"/>
                <w:szCs w:val="20"/>
              </w:rPr>
            </w:pPr>
          </w:p>
        </w:tc>
        <w:tc>
          <w:tcPr>
            <w:tcW w:w="1270" w:type="dxa"/>
            <w:tcBorders>
              <w:top w:val="single" w:color="000000" w:sz="4" w:space="0"/>
              <w:left w:val="single" w:color="000000" w:sz="4" w:space="0"/>
              <w:bottom w:val="single" w:color="000000" w:sz="4" w:space="0"/>
              <w:right w:val="single" w:color="000000" w:sz="4" w:space="0"/>
            </w:tcBorders>
            <w:noWrap w:val="0"/>
            <w:vAlign w:val="center"/>
          </w:tcPr>
          <w:p w14:paraId="70F8B19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二至四层</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3AA612B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约1260㎡</w:t>
            </w:r>
          </w:p>
        </w:tc>
        <w:tc>
          <w:tcPr>
            <w:tcW w:w="2013" w:type="dxa"/>
            <w:vMerge w:val="continue"/>
            <w:tcBorders>
              <w:left w:val="single" w:color="000000" w:sz="4" w:space="0"/>
              <w:right w:val="single" w:color="auto" w:sz="4" w:space="0"/>
            </w:tcBorders>
            <w:noWrap w:val="0"/>
            <w:vAlign w:val="center"/>
          </w:tcPr>
          <w:p w14:paraId="48E6CBBF">
            <w:pPr>
              <w:keepNext w:val="0"/>
              <w:keepLines w:val="0"/>
              <w:suppressLineNumbers w:val="0"/>
              <w:spacing w:before="0" w:beforeAutospacing="0" w:after="0" w:afterAutospacing="0" w:line="300" w:lineRule="exact"/>
              <w:ind w:left="0" w:right="0"/>
              <w:jc w:val="center"/>
              <w:rPr>
                <w:rFonts w:hint="default"/>
                <w:szCs w:val="20"/>
              </w:rPr>
            </w:pPr>
          </w:p>
        </w:tc>
        <w:tc>
          <w:tcPr>
            <w:tcW w:w="1258" w:type="dxa"/>
            <w:vMerge w:val="continue"/>
            <w:tcBorders>
              <w:left w:val="nil"/>
              <w:right w:val="single" w:color="auto" w:sz="4" w:space="0"/>
            </w:tcBorders>
            <w:noWrap w:val="0"/>
            <w:vAlign w:val="center"/>
          </w:tcPr>
          <w:p w14:paraId="0DFC7DC1">
            <w:pPr>
              <w:keepNext w:val="0"/>
              <w:keepLines w:val="0"/>
              <w:suppressLineNumbers w:val="0"/>
              <w:spacing w:before="0" w:beforeAutospacing="0" w:after="0" w:afterAutospacing="0" w:line="300" w:lineRule="exact"/>
              <w:ind w:left="0" w:right="0"/>
              <w:jc w:val="center"/>
              <w:rPr>
                <w:rFonts w:hint="default"/>
                <w:szCs w:val="20"/>
              </w:rPr>
            </w:pPr>
          </w:p>
        </w:tc>
      </w:tr>
      <w:tr w14:paraId="44AB9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758" w:type="dxa"/>
            <w:vMerge w:val="continue"/>
            <w:tcBorders>
              <w:left w:val="single" w:color="auto" w:sz="4" w:space="0"/>
              <w:bottom w:val="single" w:color="000000" w:sz="4" w:space="0"/>
              <w:right w:val="single" w:color="000000" w:sz="4" w:space="0"/>
            </w:tcBorders>
            <w:noWrap w:val="0"/>
            <w:vAlign w:val="center"/>
          </w:tcPr>
          <w:p w14:paraId="3BB32B02">
            <w:pPr>
              <w:keepNext w:val="0"/>
              <w:keepLines w:val="0"/>
              <w:suppressLineNumbers w:val="0"/>
              <w:spacing w:before="0" w:beforeAutospacing="0" w:after="0" w:afterAutospacing="0" w:line="300" w:lineRule="exact"/>
              <w:ind w:left="0" w:right="0"/>
              <w:jc w:val="center"/>
              <w:rPr>
                <w:rFonts w:hint="default"/>
                <w:szCs w:val="20"/>
              </w:rPr>
            </w:pPr>
          </w:p>
        </w:tc>
        <w:tc>
          <w:tcPr>
            <w:tcW w:w="3835" w:type="dxa"/>
            <w:vMerge w:val="continue"/>
            <w:tcBorders>
              <w:left w:val="single" w:color="000000" w:sz="4" w:space="0"/>
              <w:bottom w:val="single" w:color="000000" w:sz="4" w:space="0"/>
              <w:right w:val="single" w:color="000000" w:sz="4" w:space="0"/>
            </w:tcBorders>
            <w:noWrap w:val="0"/>
            <w:vAlign w:val="center"/>
          </w:tcPr>
          <w:p w14:paraId="7AA38E8C">
            <w:pPr>
              <w:keepNext w:val="0"/>
              <w:keepLines w:val="0"/>
              <w:suppressLineNumbers w:val="0"/>
              <w:spacing w:before="0" w:beforeAutospacing="0" w:after="0" w:afterAutospacing="0" w:line="300" w:lineRule="exact"/>
              <w:ind w:left="0" w:right="0"/>
              <w:jc w:val="center"/>
              <w:rPr>
                <w:rFonts w:hint="default"/>
                <w:szCs w:val="20"/>
              </w:rPr>
            </w:pPr>
          </w:p>
        </w:tc>
        <w:tc>
          <w:tcPr>
            <w:tcW w:w="1270" w:type="dxa"/>
            <w:tcBorders>
              <w:top w:val="single" w:color="000000" w:sz="4" w:space="0"/>
              <w:left w:val="single" w:color="000000" w:sz="4" w:space="0"/>
              <w:bottom w:val="single" w:color="000000" w:sz="4" w:space="0"/>
              <w:right w:val="single" w:color="000000" w:sz="4" w:space="0"/>
            </w:tcBorders>
            <w:noWrap w:val="0"/>
            <w:vAlign w:val="center"/>
          </w:tcPr>
          <w:p w14:paraId="260F576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56CF02C">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约1365㎡</w:t>
            </w:r>
          </w:p>
        </w:tc>
        <w:tc>
          <w:tcPr>
            <w:tcW w:w="2013" w:type="dxa"/>
            <w:vMerge w:val="continue"/>
            <w:tcBorders>
              <w:left w:val="single" w:color="000000" w:sz="4" w:space="0"/>
              <w:bottom w:val="single" w:color="000000" w:sz="4" w:space="0"/>
              <w:right w:val="single" w:color="auto" w:sz="4" w:space="0"/>
            </w:tcBorders>
            <w:noWrap w:val="0"/>
            <w:vAlign w:val="center"/>
          </w:tcPr>
          <w:p w14:paraId="68EF2EB7">
            <w:pPr>
              <w:keepNext w:val="0"/>
              <w:keepLines w:val="0"/>
              <w:suppressLineNumbers w:val="0"/>
              <w:spacing w:before="0" w:beforeAutospacing="0" w:after="0" w:afterAutospacing="0" w:line="300" w:lineRule="exact"/>
              <w:ind w:left="0" w:right="0"/>
              <w:jc w:val="center"/>
              <w:rPr>
                <w:rFonts w:hint="default"/>
                <w:szCs w:val="20"/>
              </w:rPr>
            </w:pPr>
          </w:p>
        </w:tc>
        <w:tc>
          <w:tcPr>
            <w:tcW w:w="1258" w:type="dxa"/>
            <w:vMerge w:val="continue"/>
            <w:tcBorders>
              <w:left w:val="nil"/>
              <w:bottom w:val="single" w:color="000000" w:sz="4" w:space="0"/>
              <w:right w:val="single" w:color="auto" w:sz="4" w:space="0"/>
            </w:tcBorders>
            <w:noWrap w:val="0"/>
            <w:vAlign w:val="center"/>
          </w:tcPr>
          <w:p w14:paraId="1CBEA4B1">
            <w:pPr>
              <w:keepNext w:val="0"/>
              <w:keepLines w:val="0"/>
              <w:suppressLineNumbers w:val="0"/>
              <w:spacing w:before="0" w:beforeAutospacing="0" w:after="0" w:afterAutospacing="0" w:line="300" w:lineRule="exact"/>
              <w:ind w:left="0" w:right="0"/>
              <w:jc w:val="center"/>
              <w:rPr>
                <w:rFonts w:hint="default"/>
                <w:szCs w:val="20"/>
              </w:rPr>
            </w:pPr>
          </w:p>
        </w:tc>
      </w:tr>
      <w:tr w14:paraId="213A4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10C03DB9">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835" w:type="dxa"/>
            <w:tcBorders>
              <w:top w:val="single" w:color="000000" w:sz="4" w:space="0"/>
              <w:left w:val="single" w:color="000000" w:sz="4" w:space="0"/>
              <w:bottom w:val="single" w:color="000000" w:sz="4" w:space="0"/>
              <w:right w:val="single" w:color="000000" w:sz="4" w:space="0"/>
            </w:tcBorders>
            <w:noWrap w:val="0"/>
            <w:vAlign w:val="center"/>
          </w:tcPr>
          <w:p w14:paraId="0E14E705">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温州市龙湾区永兴街道祠南村环镇路上沙田工业区（沙田3号）简易房二楼五年租赁权</w:t>
            </w:r>
          </w:p>
        </w:tc>
        <w:tc>
          <w:tcPr>
            <w:tcW w:w="2626" w:type="dxa"/>
            <w:gridSpan w:val="2"/>
            <w:tcBorders>
              <w:top w:val="single" w:color="000000" w:sz="4" w:space="0"/>
              <w:left w:val="single" w:color="000000" w:sz="4" w:space="0"/>
              <w:bottom w:val="single" w:color="000000" w:sz="4" w:space="0"/>
              <w:right w:val="single" w:color="000000" w:sz="4" w:space="0"/>
            </w:tcBorders>
            <w:noWrap w:val="0"/>
            <w:vAlign w:val="center"/>
          </w:tcPr>
          <w:p w14:paraId="2E932E09">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约425㎡</w:t>
            </w:r>
          </w:p>
        </w:tc>
        <w:tc>
          <w:tcPr>
            <w:tcW w:w="2013" w:type="dxa"/>
            <w:tcBorders>
              <w:top w:val="single" w:color="000000" w:sz="4" w:space="0"/>
              <w:left w:val="single" w:color="000000" w:sz="4" w:space="0"/>
              <w:bottom w:val="single" w:color="000000" w:sz="4" w:space="0"/>
              <w:right w:val="single" w:color="auto" w:sz="4" w:space="0"/>
            </w:tcBorders>
            <w:noWrap w:val="0"/>
            <w:vAlign w:val="center"/>
          </w:tcPr>
          <w:p w14:paraId="247B8E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30000</w:t>
            </w:r>
            <w:r>
              <w:rPr>
                <w:rFonts w:hint="eastAsia" w:ascii="宋体" w:hAnsi="宋体" w:cs="宋体"/>
                <w:i w:val="0"/>
                <w:iCs w:val="0"/>
                <w:color w:val="000000"/>
                <w:kern w:val="0"/>
                <w:sz w:val="24"/>
                <w:szCs w:val="24"/>
                <w:u w:val="none"/>
                <w:lang w:val="en-US" w:eastAsia="zh-CN" w:bidi="ar"/>
              </w:rPr>
              <w:t>元</w:t>
            </w:r>
          </w:p>
        </w:tc>
        <w:tc>
          <w:tcPr>
            <w:tcW w:w="1258" w:type="dxa"/>
            <w:tcBorders>
              <w:top w:val="single" w:color="000000" w:sz="4" w:space="0"/>
              <w:left w:val="nil"/>
              <w:bottom w:val="single" w:color="000000" w:sz="4" w:space="0"/>
              <w:right w:val="single" w:color="auto" w:sz="4" w:space="0"/>
            </w:tcBorders>
            <w:noWrap w:val="0"/>
            <w:vAlign w:val="center"/>
          </w:tcPr>
          <w:p w14:paraId="7C152AD8">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r>
      <w:tr w14:paraId="5E893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01284787">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835" w:type="dxa"/>
            <w:tcBorders>
              <w:top w:val="single" w:color="000000" w:sz="4" w:space="0"/>
              <w:left w:val="single" w:color="000000" w:sz="4" w:space="0"/>
              <w:bottom w:val="single" w:color="000000" w:sz="4" w:space="0"/>
              <w:right w:val="single" w:color="000000" w:sz="4" w:space="0"/>
            </w:tcBorders>
            <w:noWrap w:val="0"/>
            <w:vAlign w:val="center"/>
          </w:tcPr>
          <w:p w14:paraId="5642DFCC">
            <w:pPr>
              <w:keepNext w:val="0"/>
              <w:keepLines w:val="0"/>
              <w:widowControl/>
              <w:suppressLineNumbers w:val="0"/>
              <w:spacing w:before="0" w:beforeAutospacing="0" w:after="0" w:afterAutospacing="0"/>
              <w:ind w:left="0" w:right="0"/>
              <w:jc w:val="center"/>
              <w:textAlignment w:val="center"/>
              <w:rPr>
                <w:rFonts w:hint="default"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温州市龙湾区永兴街道祠南村环镇路上沙田工业区（沙田3号）简易房三楼五年租赁权</w:t>
            </w:r>
          </w:p>
        </w:tc>
        <w:tc>
          <w:tcPr>
            <w:tcW w:w="2626" w:type="dxa"/>
            <w:gridSpan w:val="2"/>
            <w:tcBorders>
              <w:top w:val="single" w:color="000000" w:sz="4" w:space="0"/>
              <w:left w:val="single" w:color="000000" w:sz="4" w:space="0"/>
              <w:bottom w:val="single" w:color="000000" w:sz="4" w:space="0"/>
              <w:right w:val="single" w:color="000000" w:sz="4" w:space="0"/>
            </w:tcBorders>
            <w:noWrap w:val="0"/>
            <w:vAlign w:val="center"/>
          </w:tcPr>
          <w:p w14:paraId="08CA910B">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约425㎡</w:t>
            </w:r>
          </w:p>
        </w:tc>
        <w:tc>
          <w:tcPr>
            <w:tcW w:w="2013" w:type="dxa"/>
            <w:tcBorders>
              <w:top w:val="single" w:color="000000" w:sz="4" w:space="0"/>
              <w:left w:val="single" w:color="000000" w:sz="4" w:space="0"/>
              <w:bottom w:val="single" w:color="000000" w:sz="4" w:space="0"/>
              <w:right w:val="single" w:color="auto" w:sz="4" w:space="0"/>
            </w:tcBorders>
            <w:noWrap w:val="0"/>
            <w:vAlign w:val="center"/>
          </w:tcPr>
          <w:p w14:paraId="09B1CFD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29000</w:t>
            </w:r>
            <w:r>
              <w:rPr>
                <w:rFonts w:hint="eastAsia" w:ascii="宋体" w:hAnsi="宋体" w:cs="宋体"/>
                <w:i w:val="0"/>
                <w:iCs w:val="0"/>
                <w:color w:val="000000"/>
                <w:kern w:val="0"/>
                <w:sz w:val="24"/>
                <w:szCs w:val="24"/>
                <w:u w:val="none"/>
                <w:lang w:val="en-US" w:eastAsia="zh-CN" w:bidi="ar"/>
              </w:rPr>
              <w:t>元</w:t>
            </w:r>
          </w:p>
        </w:tc>
        <w:tc>
          <w:tcPr>
            <w:tcW w:w="1258" w:type="dxa"/>
            <w:tcBorders>
              <w:top w:val="single" w:color="000000" w:sz="4" w:space="0"/>
              <w:left w:val="nil"/>
              <w:bottom w:val="single" w:color="000000" w:sz="4" w:space="0"/>
              <w:right w:val="single" w:color="auto" w:sz="4" w:space="0"/>
            </w:tcBorders>
            <w:noWrap w:val="0"/>
            <w:vAlign w:val="center"/>
          </w:tcPr>
          <w:p w14:paraId="567B4730">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10490" w:type="dxa"/>
            <w:gridSpan w:val="6"/>
            <w:tcBorders>
              <w:top w:val="single" w:color="000000" w:sz="4" w:space="0"/>
              <w:left w:val="single" w:color="auto" w:sz="4" w:space="0"/>
              <w:bottom w:val="single" w:color="000000" w:sz="4" w:space="0"/>
              <w:right w:val="single" w:color="auto" w:sz="4" w:space="0"/>
            </w:tcBorders>
            <w:noWrap w:val="0"/>
            <w:vAlign w:val="center"/>
          </w:tcPr>
          <w:p w14:paraId="40190EF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3EF1317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2.标的一装修期设2个月，标的二</w:t>
            </w:r>
            <w:r>
              <w:rPr>
                <w:rFonts w:hint="eastAsia" w:ascii="宋体" w:hAnsi="宋体" w:cs="宋体"/>
                <w:bCs/>
                <w:kern w:val="2"/>
                <w:sz w:val="24"/>
                <w:szCs w:val="24"/>
                <w:highlight w:val="none"/>
                <w:lang w:val="en-US" w:eastAsia="zh-CN" w:bidi="ar"/>
              </w:rPr>
              <w:t>及标的三</w:t>
            </w:r>
            <w:r>
              <w:rPr>
                <w:rFonts w:hint="eastAsia" w:ascii="宋体" w:hAnsi="宋体" w:eastAsia="宋体" w:cs="宋体"/>
                <w:bCs/>
                <w:kern w:val="2"/>
                <w:sz w:val="24"/>
                <w:szCs w:val="24"/>
                <w:highlight w:val="none"/>
                <w:lang w:val="en-US" w:eastAsia="zh-CN" w:bidi="ar"/>
              </w:rPr>
              <w:t>装修期均设1个月；不计租金及租期。</w:t>
            </w:r>
          </w:p>
          <w:p w14:paraId="52116AD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标的</w:t>
            </w:r>
            <w:r>
              <w:rPr>
                <w:rFonts w:hint="eastAsia" w:ascii="宋体" w:hAnsi="宋体" w:cs="宋体"/>
                <w:bCs/>
                <w:kern w:val="2"/>
                <w:sz w:val="24"/>
                <w:szCs w:val="24"/>
                <w:highlight w:val="none"/>
                <w:lang w:val="en-US" w:eastAsia="zh-CN" w:bidi="ar"/>
              </w:rPr>
              <w:t>二</w:t>
            </w:r>
            <w:r>
              <w:rPr>
                <w:rFonts w:hint="eastAsia" w:ascii="宋体" w:hAnsi="宋体" w:eastAsia="宋体" w:cs="宋体"/>
                <w:bCs/>
                <w:kern w:val="2"/>
                <w:sz w:val="24"/>
                <w:szCs w:val="24"/>
                <w:highlight w:val="none"/>
                <w:lang w:val="en-US" w:eastAsia="zh-CN" w:bidi="ar"/>
              </w:rPr>
              <w:t>及标的</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沙田工业区（沙田3号）简易房一层楼梯间为公共通道，面积分摊至二楼、三楼。</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祠南村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w:t>
      </w:r>
      <w:r>
        <w:rPr>
          <w:rFonts w:hint="eastAsia" w:ascii="宋体" w:hAnsi="宋体" w:eastAsia="宋体" w:cs="Times New Roman"/>
          <w:color w:val="auto"/>
          <w:sz w:val="24"/>
          <w:szCs w:val="24"/>
          <w:highlight w:val="none"/>
          <w:u w:val="none"/>
          <w:lang w:val="en-US" w:eastAsia="zh-CN"/>
        </w:rPr>
        <w:t>首年租金成交价的10%（取整数）</w:t>
      </w:r>
      <w:r>
        <w:rPr>
          <w:rFonts w:hint="eastAsia" w:ascii="宋体" w:hAnsi="宋体" w:cs="Times New Roman"/>
          <w:color w:val="auto"/>
          <w:sz w:val="24"/>
          <w:szCs w:val="24"/>
          <w:highlight w:val="none"/>
          <w:u w:val="none"/>
          <w:lang w:val="en-US" w:eastAsia="zh-CN"/>
        </w:rPr>
        <w:t>/标的</w:t>
      </w:r>
      <w:r>
        <w:rPr>
          <w:rFonts w:hint="eastAsia" w:ascii="宋体" w:hAnsi="宋体" w:eastAsia="宋体" w:cs="Times New Roman"/>
          <w:color w:val="auto"/>
          <w:sz w:val="24"/>
          <w:szCs w:val="24"/>
          <w:highlight w:val="none"/>
          <w:u w:val="none"/>
          <w:lang w:val="en-US" w:eastAsia="zh-CN"/>
        </w:rPr>
        <w:t>。</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17</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153670</wp:posOffset>
            </wp:positionH>
            <wp:positionV relativeFrom="paragraph">
              <wp:posOffset>237490</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温州市龙湾区永兴街道祠南村集体经济组织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2026年4月10日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2026年4月10日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6D756C9B">
      <w:pPr>
        <w:spacing w:line="360" w:lineRule="auto"/>
        <w:jc w:val="center"/>
        <w:rPr>
          <w:rFonts w:hint="eastAsia"/>
          <w:b/>
          <w:color w:val="auto"/>
          <w:sz w:val="36"/>
          <w:szCs w:val="36"/>
          <w:highlight w:val="none"/>
        </w:rPr>
      </w:pPr>
    </w:p>
    <w:p w14:paraId="1B628A20">
      <w:pPr>
        <w:spacing w:line="360" w:lineRule="auto"/>
        <w:jc w:val="center"/>
        <w:rPr>
          <w:rFonts w:hint="eastAsia"/>
          <w:b/>
          <w:color w:val="auto"/>
          <w:sz w:val="36"/>
          <w:szCs w:val="36"/>
          <w:highlight w:val="none"/>
        </w:rPr>
      </w:pPr>
    </w:p>
    <w:p w14:paraId="293C3EB7">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温州市龙湾区永兴街道祠南村集体经济组织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835"/>
        <w:gridCol w:w="1270"/>
        <w:gridCol w:w="1356"/>
        <w:gridCol w:w="2013"/>
        <w:gridCol w:w="1258"/>
      </w:tblGrid>
      <w:tr w14:paraId="28808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707831E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35" w:type="dxa"/>
            <w:tcBorders>
              <w:top w:val="single" w:color="000000" w:sz="4" w:space="0"/>
              <w:left w:val="single" w:color="000000" w:sz="4" w:space="0"/>
              <w:bottom w:val="single" w:color="000000" w:sz="4" w:space="0"/>
              <w:right w:val="single" w:color="000000" w:sz="4" w:space="0"/>
            </w:tcBorders>
            <w:noWrap w:val="0"/>
            <w:vAlign w:val="center"/>
          </w:tcPr>
          <w:p w14:paraId="0B3B00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626" w:type="dxa"/>
            <w:gridSpan w:val="2"/>
            <w:tcBorders>
              <w:top w:val="single" w:color="000000" w:sz="4" w:space="0"/>
              <w:left w:val="single" w:color="000000" w:sz="4" w:space="0"/>
              <w:bottom w:val="single" w:color="000000" w:sz="4" w:space="0"/>
              <w:right w:val="single" w:color="000000" w:sz="4" w:space="0"/>
            </w:tcBorders>
            <w:noWrap w:val="0"/>
            <w:vAlign w:val="center"/>
          </w:tcPr>
          <w:p w14:paraId="0F6C420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2013" w:type="dxa"/>
            <w:tcBorders>
              <w:top w:val="single" w:color="000000" w:sz="4" w:space="0"/>
              <w:left w:val="single" w:color="000000" w:sz="4" w:space="0"/>
              <w:bottom w:val="single" w:color="000000" w:sz="4" w:space="0"/>
              <w:right w:val="single" w:color="auto" w:sz="4" w:space="0"/>
            </w:tcBorders>
            <w:noWrap w:val="0"/>
            <w:vAlign w:val="center"/>
          </w:tcPr>
          <w:p w14:paraId="2509C59A">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A3C2560">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58" w:type="dxa"/>
            <w:tcBorders>
              <w:top w:val="single" w:color="000000" w:sz="4" w:space="0"/>
              <w:left w:val="nil"/>
              <w:bottom w:val="single" w:color="000000" w:sz="4" w:space="0"/>
              <w:right w:val="single" w:color="auto" w:sz="4" w:space="0"/>
            </w:tcBorders>
            <w:noWrap w:val="0"/>
            <w:vAlign w:val="center"/>
          </w:tcPr>
          <w:p w14:paraId="1D804BD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71DE547">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4DEA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758" w:type="dxa"/>
            <w:vMerge w:val="restart"/>
            <w:tcBorders>
              <w:top w:val="single" w:color="000000" w:sz="4" w:space="0"/>
              <w:left w:val="single" w:color="auto" w:sz="4" w:space="0"/>
              <w:right w:val="single" w:color="000000" w:sz="4" w:space="0"/>
            </w:tcBorders>
            <w:noWrap w:val="0"/>
            <w:vAlign w:val="center"/>
          </w:tcPr>
          <w:p w14:paraId="1C6FB497">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835" w:type="dxa"/>
            <w:vMerge w:val="restart"/>
            <w:tcBorders>
              <w:top w:val="single" w:color="000000" w:sz="4" w:space="0"/>
              <w:left w:val="single" w:color="000000" w:sz="4" w:space="0"/>
              <w:right w:val="single" w:color="000000" w:sz="4" w:space="0"/>
            </w:tcBorders>
            <w:noWrap w:val="0"/>
            <w:vAlign w:val="center"/>
          </w:tcPr>
          <w:p w14:paraId="2FB4B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250190</wp:posOffset>
                  </wp:positionH>
                  <wp:positionV relativeFrom="paragraph">
                    <wp:posOffset>554990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温州市龙湾区永兴街道祠南村综合办公楼一楼北首3间及二至四层五年租赁权</w:t>
            </w:r>
          </w:p>
        </w:tc>
        <w:tc>
          <w:tcPr>
            <w:tcW w:w="1270" w:type="dxa"/>
            <w:tcBorders>
              <w:top w:val="single" w:color="000000" w:sz="4" w:space="0"/>
              <w:left w:val="single" w:color="000000" w:sz="4" w:space="0"/>
              <w:bottom w:val="single" w:color="000000" w:sz="4" w:space="0"/>
              <w:right w:val="single" w:color="000000" w:sz="4" w:space="0"/>
            </w:tcBorders>
            <w:noWrap w:val="0"/>
            <w:vAlign w:val="center"/>
          </w:tcPr>
          <w:p w14:paraId="679BBAC1">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一楼北首</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A91F3B8">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约105㎡</w:t>
            </w:r>
          </w:p>
        </w:tc>
        <w:tc>
          <w:tcPr>
            <w:tcW w:w="2013" w:type="dxa"/>
            <w:vMerge w:val="restart"/>
            <w:tcBorders>
              <w:top w:val="single" w:color="000000" w:sz="4" w:space="0"/>
              <w:left w:val="single" w:color="000000" w:sz="4" w:space="0"/>
              <w:right w:val="single" w:color="auto" w:sz="4" w:space="0"/>
            </w:tcBorders>
            <w:noWrap w:val="0"/>
            <w:vAlign w:val="center"/>
          </w:tcPr>
          <w:p w14:paraId="3D20708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213000</w:t>
            </w:r>
            <w:r>
              <w:rPr>
                <w:rFonts w:hint="eastAsia" w:ascii="宋体" w:hAnsi="宋体" w:cs="宋体"/>
                <w:i w:val="0"/>
                <w:iCs w:val="0"/>
                <w:color w:val="000000"/>
                <w:kern w:val="0"/>
                <w:sz w:val="24"/>
                <w:szCs w:val="24"/>
                <w:u w:val="none"/>
                <w:lang w:val="en-US" w:eastAsia="zh-CN" w:bidi="ar"/>
              </w:rPr>
              <w:t>元</w:t>
            </w:r>
          </w:p>
        </w:tc>
        <w:tc>
          <w:tcPr>
            <w:tcW w:w="1258" w:type="dxa"/>
            <w:vMerge w:val="restart"/>
            <w:tcBorders>
              <w:top w:val="single" w:color="000000" w:sz="4" w:space="0"/>
              <w:left w:val="nil"/>
              <w:right w:val="single" w:color="auto" w:sz="4" w:space="0"/>
            </w:tcBorders>
            <w:noWrap w:val="0"/>
            <w:vAlign w:val="center"/>
          </w:tcPr>
          <w:p w14:paraId="24F892D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21万元</w:t>
            </w:r>
          </w:p>
        </w:tc>
      </w:tr>
      <w:tr w14:paraId="31869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758" w:type="dxa"/>
            <w:vMerge w:val="continue"/>
            <w:tcBorders>
              <w:left w:val="single" w:color="auto" w:sz="4" w:space="0"/>
              <w:right w:val="single" w:color="000000" w:sz="4" w:space="0"/>
            </w:tcBorders>
            <w:noWrap w:val="0"/>
            <w:vAlign w:val="center"/>
          </w:tcPr>
          <w:p w14:paraId="474AC78E">
            <w:pPr>
              <w:keepNext w:val="0"/>
              <w:keepLines w:val="0"/>
              <w:suppressLineNumbers w:val="0"/>
              <w:spacing w:before="0" w:beforeAutospacing="0" w:after="0" w:afterAutospacing="0" w:line="300" w:lineRule="exact"/>
              <w:ind w:left="0" w:right="0"/>
              <w:jc w:val="center"/>
              <w:rPr>
                <w:rFonts w:hint="default"/>
                <w:szCs w:val="20"/>
              </w:rPr>
            </w:pPr>
          </w:p>
        </w:tc>
        <w:tc>
          <w:tcPr>
            <w:tcW w:w="3835" w:type="dxa"/>
            <w:vMerge w:val="continue"/>
            <w:tcBorders>
              <w:left w:val="single" w:color="000000" w:sz="4" w:space="0"/>
              <w:right w:val="single" w:color="000000" w:sz="4" w:space="0"/>
            </w:tcBorders>
            <w:noWrap w:val="0"/>
            <w:vAlign w:val="center"/>
          </w:tcPr>
          <w:p w14:paraId="11CC6268">
            <w:pPr>
              <w:keepNext w:val="0"/>
              <w:keepLines w:val="0"/>
              <w:suppressLineNumbers w:val="0"/>
              <w:spacing w:before="0" w:beforeAutospacing="0" w:after="0" w:afterAutospacing="0" w:line="300" w:lineRule="exact"/>
              <w:ind w:left="0" w:right="0"/>
              <w:jc w:val="center"/>
              <w:rPr>
                <w:rFonts w:hint="default"/>
                <w:szCs w:val="20"/>
              </w:rPr>
            </w:pPr>
          </w:p>
        </w:tc>
        <w:tc>
          <w:tcPr>
            <w:tcW w:w="1270" w:type="dxa"/>
            <w:tcBorders>
              <w:top w:val="single" w:color="000000" w:sz="4" w:space="0"/>
              <w:left w:val="single" w:color="000000" w:sz="4" w:space="0"/>
              <w:bottom w:val="single" w:color="000000" w:sz="4" w:space="0"/>
              <w:right w:val="single" w:color="000000" w:sz="4" w:space="0"/>
            </w:tcBorders>
            <w:noWrap w:val="0"/>
            <w:vAlign w:val="center"/>
          </w:tcPr>
          <w:p w14:paraId="5D33A89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二至四层</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8CD7ADA">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约1260㎡</w:t>
            </w:r>
          </w:p>
        </w:tc>
        <w:tc>
          <w:tcPr>
            <w:tcW w:w="2013" w:type="dxa"/>
            <w:vMerge w:val="continue"/>
            <w:tcBorders>
              <w:left w:val="single" w:color="000000" w:sz="4" w:space="0"/>
              <w:right w:val="single" w:color="auto" w:sz="4" w:space="0"/>
            </w:tcBorders>
            <w:noWrap w:val="0"/>
            <w:vAlign w:val="center"/>
          </w:tcPr>
          <w:p w14:paraId="0565206D">
            <w:pPr>
              <w:keepNext w:val="0"/>
              <w:keepLines w:val="0"/>
              <w:suppressLineNumbers w:val="0"/>
              <w:spacing w:before="0" w:beforeAutospacing="0" w:after="0" w:afterAutospacing="0" w:line="300" w:lineRule="exact"/>
              <w:ind w:left="0" w:right="0"/>
              <w:jc w:val="center"/>
              <w:rPr>
                <w:rFonts w:hint="default"/>
                <w:szCs w:val="20"/>
              </w:rPr>
            </w:pPr>
          </w:p>
        </w:tc>
        <w:tc>
          <w:tcPr>
            <w:tcW w:w="1258" w:type="dxa"/>
            <w:vMerge w:val="continue"/>
            <w:tcBorders>
              <w:left w:val="nil"/>
              <w:right w:val="single" w:color="auto" w:sz="4" w:space="0"/>
            </w:tcBorders>
            <w:noWrap w:val="0"/>
            <w:vAlign w:val="center"/>
          </w:tcPr>
          <w:p w14:paraId="61D79C1A">
            <w:pPr>
              <w:keepNext w:val="0"/>
              <w:keepLines w:val="0"/>
              <w:suppressLineNumbers w:val="0"/>
              <w:spacing w:before="0" w:beforeAutospacing="0" w:after="0" w:afterAutospacing="0" w:line="300" w:lineRule="exact"/>
              <w:ind w:left="0" w:right="0"/>
              <w:jc w:val="center"/>
              <w:rPr>
                <w:rFonts w:hint="default"/>
                <w:szCs w:val="20"/>
              </w:rPr>
            </w:pPr>
          </w:p>
        </w:tc>
      </w:tr>
      <w:tr w14:paraId="4F5A3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758" w:type="dxa"/>
            <w:vMerge w:val="continue"/>
            <w:tcBorders>
              <w:left w:val="single" w:color="auto" w:sz="4" w:space="0"/>
              <w:bottom w:val="single" w:color="000000" w:sz="4" w:space="0"/>
              <w:right w:val="single" w:color="000000" w:sz="4" w:space="0"/>
            </w:tcBorders>
            <w:noWrap w:val="0"/>
            <w:vAlign w:val="center"/>
          </w:tcPr>
          <w:p w14:paraId="41512918">
            <w:pPr>
              <w:keepNext w:val="0"/>
              <w:keepLines w:val="0"/>
              <w:suppressLineNumbers w:val="0"/>
              <w:spacing w:before="0" w:beforeAutospacing="0" w:after="0" w:afterAutospacing="0" w:line="300" w:lineRule="exact"/>
              <w:ind w:left="0" w:right="0"/>
              <w:jc w:val="center"/>
              <w:rPr>
                <w:rFonts w:hint="default"/>
                <w:szCs w:val="20"/>
              </w:rPr>
            </w:pPr>
          </w:p>
        </w:tc>
        <w:tc>
          <w:tcPr>
            <w:tcW w:w="3835" w:type="dxa"/>
            <w:vMerge w:val="continue"/>
            <w:tcBorders>
              <w:left w:val="single" w:color="000000" w:sz="4" w:space="0"/>
              <w:bottom w:val="single" w:color="000000" w:sz="4" w:space="0"/>
              <w:right w:val="single" w:color="000000" w:sz="4" w:space="0"/>
            </w:tcBorders>
            <w:noWrap w:val="0"/>
            <w:vAlign w:val="center"/>
          </w:tcPr>
          <w:p w14:paraId="68F54AD8">
            <w:pPr>
              <w:keepNext w:val="0"/>
              <w:keepLines w:val="0"/>
              <w:suppressLineNumbers w:val="0"/>
              <w:spacing w:before="0" w:beforeAutospacing="0" w:after="0" w:afterAutospacing="0" w:line="300" w:lineRule="exact"/>
              <w:ind w:left="0" w:right="0"/>
              <w:jc w:val="center"/>
              <w:rPr>
                <w:rFonts w:hint="default"/>
                <w:szCs w:val="20"/>
              </w:rPr>
            </w:pPr>
          </w:p>
        </w:tc>
        <w:tc>
          <w:tcPr>
            <w:tcW w:w="1270" w:type="dxa"/>
            <w:tcBorders>
              <w:top w:val="single" w:color="000000" w:sz="4" w:space="0"/>
              <w:left w:val="single" w:color="000000" w:sz="4" w:space="0"/>
              <w:bottom w:val="single" w:color="000000" w:sz="4" w:space="0"/>
              <w:right w:val="single" w:color="000000" w:sz="4" w:space="0"/>
            </w:tcBorders>
            <w:noWrap w:val="0"/>
            <w:vAlign w:val="center"/>
          </w:tcPr>
          <w:p w14:paraId="4B2711C0">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50A3076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约1365㎡</w:t>
            </w:r>
          </w:p>
        </w:tc>
        <w:tc>
          <w:tcPr>
            <w:tcW w:w="2013" w:type="dxa"/>
            <w:vMerge w:val="continue"/>
            <w:tcBorders>
              <w:left w:val="single" w:color="000000" w:sz="4" w:space="0"/>
              <w:bottom w:val="single" w:color="000000" w:sz="4" w:space="0"/>
              <w:right w:val="single" w:color="auto" w:sz="4" w:space="0"/>
            </w:tcBorders>
            <w:noWrap w:val="0"/>
            <w:vAlign w:val="center"/>
          </w:tcPr>
          <w:p w14:paraId="3B69832F">
            <w:pPr>
              <w:keepNext w:val="0"/>
              <w:keepLines w:val="0"/>
              <w:suppressLineNumbers w:val="0"/>
              <w:spacing w:before="0" w:beforeAutospacing="0" w:after="0" w:afterAutospacing="0" w:line="300" w:lineRule="exact"/>
              <w:ind w:left="0" w:right="0"/>
              <w:jc w:val="center"/>
              <w:rPr>
                <w:rFonts w:hint="default"/>
                <w:szCs w:val="20"/>
              </w:rPr>
            </w:pPr>
          </w:p>
        </w:tc>
        <w:tc>
          <w:tcPr>
            <w:tcW w:w="1258" w:type="dxa"/>
            <w:vMerge w:val="continue"/>
            <w:tcBorders>
              <w:left w:val="nil"/>
              <w:bottom w:val="single" w:color="000000" w:sz="4" w:space="0"/>
              <w:right w:val="single" w:color="auto" w:sz="4" w:space="0"/>
            </w:tcBorders>
            <w:noWrap w:val="0"/>
            <w:vAlign w:val="center"/>
          </w:tcPr>
          <w:p w14:paraId="762DD783">
            <w:pPr>
              <w:keepNext w:val="0"/>
              <w:keepLines w:val="0"/>
              <w:suppressLineNumbers w:val="0"/>
              <w:spacing w:before="0" w:beforeAutospacing="0" w:after="0" w:afterAutospacing="0" w:line="300" w:lineRule="exact"/>
              <w:ind w:left="0" w:right="0"/>
              <w:jc w:val="center"/>
              <w:rPr>
                <w:rFonts w:hint="default"/>
                <w:szCs w:val="20"/>
              </w:rPr>
            </w:pPr>
          </w:p>
        </w:tc>
      </w:tr>
      <w:tr w14:paraId="66D94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6E52E157">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835" w:type="dxa"/>
            <w:tcBorders>
              <w:top w:val="single" w:color="000000" w:sz="4" w:space="0"/>
              <w:left w:val="single" w:color="000000" w:sz="4" w:space="0"/>
              <w:bottom w:val="single" w:color="000000" w:sz="4" w:space="0"/>
              <w:right w:val="single" w:color="000000" w:sz="4" w:space="0"/>
            </w:tcBorders>
            <w:noWrap w:val="0"/>
            <w:vAlign w:val="center"/>
          </w:tcPr>
          <w:p w14:paraId="4121E804">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温州市龙湾区永兴街道祠南村环镇路上沙田工业区（沙田3号）简易房二楼五年租赁权</w:t>
            </w:r>
          </w:p>
        </w:tc>
        <w:tc>
          <w:tcPr>
            <w:tcW w:w="2626" w:type="dxa"/>
            <w:gridSpan w:val="2"/>
            <w:tcBorders>
              <w:top w:val="single" w:color="000000" w:sz="4" w:space="0"/>
              <w:left w:val="single" w:color="000000" w:sz="4" w:space="0"/>
              <w:bottom w:val="single" w:color="000000" w:sz="4" w:space="0"/>
              <w:right w:val="single" w:color="000000" w:sz="4" w:space="0"/>
            </w:tcBorders>
            <w:noWrap w:val="0"/>
            <w:vAlign w:val="center"/>
          </w:tcPr>
          <w:p w14:paraId="0168D64E">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约425㎡</w:t>
            </w:r>
          </w:p>
        </w:tc>
        <w:tc>
          <w:tcPr>
            <w:tcW w:w="2013" w:type="dxa"/>
            <w:tcBorders>
              <w:top w:val="single" w:color="000000" w:sz="4" w:space="0"/>
              <w:left w:val="single" w:color="000000" w:sz="4" w:space="0"/>
              <w:bottom w:val="single" w:color="000000" w:sz="4" w:space="0"/>
              <w:right w:val="single" w:color="auto" w:sz="4" w:space="0"/>
            </w:tcBorders>
            <w:noWrap w:val="0"/>
            <w:vAlign w:val="center"/>
          </w:tcPr>
          <w:p w14:paraId="568A9CB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30000</w:t>
            </w:r>
            <w:r>
              <w:rPr>
                <w:rFonts w:hint="eastAsia" w:ascii="宋体" w:hAnsi="宋体" w:cs="宋体"/>
                <w:i w:val="0"/>
                <w:iCs w:val="0"/>
                <w:color w:val="000000"/>
                <w:kern w:val="0"/>
                <w:sz w:val="24"/>
                <w:szCs w:val="24"/>
                <w:u w:val="none"/>
                <w:lang w:val="en-US" w:eastAsia="zh-CN" w:bidi="ar"/>
              </w:rPr>
              <w:t>元</w:t>
            </w:r>
          </w:p>
        </w:tc>
        <w:tc>
          <w:tcPr>
            <w:tcW w:w="1258" w:type="dxa"/>
            <w:tcBorders>
              <w:top w:val="single" w:color="000000" w:sz="4" w:space="0"/>
              <w:left w:val="nil"/>
              <w:bottom w:val="single" w:color="000000" w:sz="4" w:space="0"/>
              <w:right w:val="single" w:color="auto" w:sz="4" w:space="0"/>
            </w:tcBorders>
            <w:noWrap w:val="0"/>
            <w:vAlign w:val="center"/>
          </w:tcPr>
          <w:p w14:paraId="0F674E84">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3万元</w:t>
            </w:r>
          </w:p>
        </w:tc>
      </w:tr>
      <w:tr w14:paraId="5EB67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58" w:type="dxa"/>
            <w:tcBorders>
              <w:top w:val="single" w:color="000000" w:sz="4" w:space="0"/>
              <w:left w:val="single" w:color="auto" w:sz="4" w:space="0"/>
              <w:bottom w:val="single" w:color="000000" w:sz="4" w:space="0"/>
              <w:right w:val="single" w:color="000000" w:sz="4" w:space="0"/>
            </w:tcBorders>
            <w:noWrap w:val="0"/>
            <w:vAlign w:val="center"/>
          </w:tcPr>
          <w:p w14:paraId="62628147">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835" w:type="dxa"/>
            <w:tcBorders>
              <w:top w:val="single" w:color="000000" w:sz="4" w:space="0"/>
              <w:left w:val="single" w:color="000000" w:sz="4" w:space="0"/>
              <w:bottom w:val="single" w:color="000000" w:sz="4" w:space="0"/>
              <w:right w:val="single" w:color="000000" w:sz="4" w:space="0"/>
            </w:tcBorders>
            <w:noWrap w:val="0"/>
            <w:vAlign w:val="center"/>
          </w:tcPr>
          <w:p w14:paraId="7E7FC150">
            <w:pPr>
              <w:keepNext w:val="0"/>
              <w:keepLines w:val="0"/>
              <w:widowControl/>
              <w:suppressLineNumbers w:val="0"/>
              <w:spacing w:before="0" w:beforeAutospacing="0" w:after="0" w:afterAutospacing="0"/>
              <w:ind w:left="0" w:right="0"/>
              <w:jc w:val="center"/>
              <w:textAlignment w:val="center"/>
              <w:rPr>
                <w:rFonts w:hint="default"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温州市龙湾区永兴街道祠南村环镇路上沙田工业区（沙田3号）简易房三楼五年租赁权</w:t>
            </w:r>
          </w:p>
        </w:tc>
        <w:tc>
          <w:tcPr>
            <w:tcW w:w="2626" w:type="dxa"/>
            <w:gridSpan w:val="2"/>
            <w:tcBorders>
              <w:top w:val="single" w:color="000000" w:sz="4" w:space="0"/>
              <w:left w:val="single" w:color="000000" w:sz="4" w:space="0"/>
              <w:bottom w:val="single" w:color="000000" w:sz="4" w:space="0"/>
              <w:right w:val="single" w:color="000000" w:sz="4" w:space="0"/>
            </w:tcBorders>
            <w:noWrap w:val="0"/>
            <w:vAlign w:val="center"/>
          </w:tcPr>
          <w:p w14:paraId="6EC3EB2C">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约425㎡</w:t>
            </w:r>
          </w:p>
        </w:tc>
        <w:tc>
          <w:tcPr>
            <w:tcW w:w="2013" w:type="dxa"/>
            <w:tcBorders>
              <w:top w:val="single" w:color="000000" w:sz="4" w:space="0"/>
              <w:left w:val="single" w:color="000000" w:sz="4" w:space="0"/>
              <w:bottom w:val="single" w:color="000000" w:sz="4" w:space="0"/>
              <w:right w:val="single" w:color="auto" w:sz="4" w:space="0"/>
            </w:tcBorders>
            <w:noWrap w:val="0"/>
            <w:vAlign w:val="center"/>
          </w:tcPr>
          <w:p w14:paraId="76B3913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29000</w:t>
            </w:r>
            <w:r>
              <w:rPr>
                <w:rFonts w:hint="eastAsia" w:ascii="宋体" w:hAnsi="宋体" w:cs="宋体"/>
                <w:i w:val="0"/>
                <w:iCs w:val="0"/>
                <w:color w:val="000000"/>
                <w:kern w:val="0"/>
                <w:sz w:val="24"/>
                <w:szCs w:val="24"/>
                <w:u w:val="none"/>
                <w:lang w:val="en-US" w:eastAsia="zh-CN" w:bidi="ar"/>
              </w:rPr>
              <w:t>元</w:t>
            </w:r>
          </w:p>
        </w:tc>
        <w:tc>
          <w:tcPr>
            <w:tcW w:w="1258" w:type="dxa"/>
            <w:tcBorders>
              <w:top w:val="single" w:color="000000" w:sz="4" w:space="0"/>
              <w:left w:val="nil"/>
              <w:bottom w:val="single" w:color="000000" w:sz="4" w:space="0"/>
              <w:right w:val="single" w:color="auto" w:sz="4" w:space="0"/>
            </w:tcBorders>
            <w:noWrap w:val="0"/>
            <w:vAlign w:val="center"/>
          </w:tcPr>
          <w:p w14:paraId="20FD7206">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2万元</w:t>
            </w:r>
          </w:p>
        </w:tc>
      </w:tr>
      <w:tr w14:paraId="4B2AD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10490" w:type="dxa"/>
            <w:gridSpan w:val="6"/>
            <w:tcBorders>
              <w:top w:val="single" w:color="000000" w:sz="4" w:space="0"/>
              <w:left w:val="single" w:color="auto" w:sz="4" w:space="0"/>
              <w:bottom w:val="single" w:color="000000" w:sz="4" w:space="0"/>
              <w:right w:val="single" w:color="auto" w:sz="4" w:space="0"/>
            </w:tcBorders>
            <w:noWrap w:val="0"/>
            <w:vAlign w:val="center"/>
          </w:tcPr>
          <w:p w14:paraId="5A74FFD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注：1.租期5年，第1-3年租金为竞价成交价，第4-5年租金在第3年租金的基础上递增3%，租金（不含税）一年一付，先付后用。</w:t>
            </w:r>
          </w:p>
          <w:p w14:paraId="6397E8D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2.标的一装修期设2个月，标的二</w:t>
            </w:r>
            <w:r>
              <w:rPr>
                <w:rFonts w:hint="eastAsia" w:ascii="宋体" w:hAnsi="宋体" w:cs="宋体"/>
                <w:bCs/>
                <w:kern w:val="2"/>
                <w:sz w:val="24"/>
                <w:szCs w:val="24"/>
                <w:highlight w:val="none"/>
                <w:lang w:val="en-US" w:eastAsia="zh-CN" w:bidi="ar"/>
              </w:rPr>
              <w:t>及标的三</w:t>
            </w:r>
            <w:r>
              <w:rPr>
                <w:rFonts w:hint="eastAsia" w:ascii="宋体" w:hAnsi="宋体" w:eastAsia="宋体" w:cs="宋体"/>
                <w:bCs/>
                <w:kern w:val="2"/>
                <w:sz w:val="24"/>
                <w:szCs w:val="24"/>
                <w:highlight w:val="none"/>
                <w:lang w:val="en-US" w:eastAsia="zh-CN" w:bidi="ar"/>
              </w:rPr>
              <w:t>装修期均设1个月；不计租金及租期。</w:t>
            </w:r>
          </w:p>
          <w:p w14:paraId="5C41D72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标的</w:t>
            </w:r>
            <w:r>
              <w:rPr>
                <w:rFonts w:hint="eastAsia" w:ascii="宋体" w:hAnsi="宋体" w:cs="宋体"/>
                <w:bCs/>
                <w:kern w:val="2"/>
                <w:sz w:val="24"/>
                <w:szCs w:val="24"/>
                <w:highlight w:val="none"/>
                <w:lang w:val="en-US" w:eastAsia="zh-CN" w:bidi="ar"/>
              </w:rPr>
              <w:t>二</w:t>
            </w:r>
            <w:r>
              <w:rPr>
                <w:rFonts w:hint="eastAsia" w:ascii="宋体" w:hAnsi="宋体" w:eastAsia="宋体" w:cs="宋体"/>
                <w:bCs/>
                <w:kern w:val="2"/>
                <w:sz w:val="24"/>
                <w:szCs w:val="24"/>
                <w:highlight w:val="none"/>
                <w:lang w:val="en-US" w:eastAsia="zh-CN" w:bidi="ar"/>
              </w:rPr>
              <w:t>及标的</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沙田工业区（沙田3号）简易房一层楼梯间为公共通道，面积分摊至二楼、三楼。</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866775</wp:posOffset>
            </wp:positionH>
            <wp:positionV relativeFrom="paragraph">
              <wp:posOffset>942975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cs="宋体"/>
          <w:b w:val="0"/>
          <w:bCs w:val="0"/>
          <w:color w:val="auto"/>
          <w:sz w:val="24"/>
          <w:szCs w:val="24"/>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791845</wp:posOffset>
            </wp:positionH>
            <wp:positionV relativeFrom="paragraph">
              <wp:posOffset>180975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2026年4月10日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317500</wp:posOffset>
                </wp:positionH>
                <wp:positionV relativeFrom="paragraph">
                  <wp:posOffset>316865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25pt;margin-top:24.95pt;height:78.3pt;width:461.4pt;z-index:251677696;mso-width-relative:page;mso-height-relative:page;" fillcolor="#FFFFFF" filled="t" stroked="t" coordsize="21600,21600" o:gfxdata="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1L1/TZAAAACQEAAA8AAAAAAAAAAQAgAAAAIgAAAGRycy9kb3ducmV2Lnht&#10;bFBLAQIUABQAAAAIAIdO4kD6K43IMQIAAHgEAAAOAAAAAAAAAAEAIAAAACgBAABkcnMvZTJvRG9j&#10;LnhtbFBLBQYAAAAABgAGAFkBAADLBQ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88" w:bottom="1440" w:left="1088"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622300</wp:posOffset>
            </wp:positionH>
            <wp:positionV relativeFrom="paragraph">
              <wp:posOffset>432435</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租期5年，第1-3年租金为竞价成交价，第4-5年租金在第3年租金的基础上递增3%，租金（不含税）一年一付，先付后用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具体租赁事项以竞得人与温州市龙湾区永兴街道祠南村集体经济组织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温州市龙湾区永兴街道祠南村集体经济组织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6.租期5年，第1-3年租金为竞价成交价，第4-5年租金在第3年租金基础上递增5%，租金（不含税）一年一付，先付后用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8720;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0AB0A8C6">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CF57CF"/>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46738"/>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072531"/>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574E5"/>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A23D33"/>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02EEE"/>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8521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24D62"/>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4E0D"/>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0A633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11876</Words>
  <Characters>12183</Characters>
  <Lines>74</Lines>
  <Paragraphs>20</Paragraphs>
  <TotalTime>3</TotalTime>
  <ScaleCrop>false</ScaleCrop>
  <LinksUpToDate>false</LinksUpToDate>
  <CharactersWithSpaces>13475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2026-04-10T01:57:56Z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CB19C9ED8BD64C5396FB9A6E342FD3DD_13</vt:lpwstr>
  </property>
  <property fmtid="{D5CDD505-2E9C-101B-9397-08002B2CF9AE}" pid="4" name="KSOTemplateDocerSaveRecord">
    <vt:lpwstr>eyJoZGlkIjoiNjkzNzY2ODI0NTRlMDg1NTUzNmE2YWY4ZWJjMjE2MDMiLCJ1c2VySWQiOiI0MTM3NTMxODMifQ==</vt:lpwstr>
  </property>
</Properties>
</file>