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CA2C07C">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温州市龙湾区永中街道刘宅村企业安置地块1号及5号地块</w:t>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四年租</w:t>
      </w:r>
      <w:bookmarkStart w:id="0" w:name="_GoBack"/>
      <w:bookmarkEnd w:id="0"/>
      <w:r>
        <w:rPr>
          <w:rFonts w:hint="eastAsia" w:ascii="宋体" w:hAnsi="宋体"/>
          <w:b/>
          <w:bCs/>
          <w:color w:val="auto"/>
          <w:sz w:val="36"/>
          <w:szCs w:val="36"/>
          <w:highlight w:val="none"/>
          <w:lang w:val="en-US" w:eastAsia="zh-CN"/>
        </w:rPr>
        <w:t>赁权竞价文件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5月6日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温州市龙湾区永中街道刘宅村企业安置地块1号及5号地块四年租赁权竞价公告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2026年5月12日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2026年5月13日上午9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温州市龙湾区永中街道刘宅村企业安置地块1号及5号地块四年租赁权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371"/>
        <w:gridCol w:w="1245"/>
        <w:gridCol w:w="1710"/>
        <w:gridCol w:w="1440"/>
        <w:gridCol w:w="112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71"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955" w:type="dxa"/>
            <w:gridSpan w:val="2"/>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40"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9398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706" w:type="dxa"/>
            <w:vMerge w:val="restart"/>
            <w:tcBorders>
              <w:top w:val="single" w:color="000000" w:sz="4" w:space="0"/>
              <w:left w:val="single" w:color="auto" w:sz="4" w:space="0"/>
              <w:right w:val="single" w:color="000000" w:sz="4" w:space="0"/>
            </w:tcBorders>
            <w:noWrap w:val="0"/>
            <w:vAlign w:val="center"/>
          </w:tcPr>
          <w:p w14:paraId="2E228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3371" w:type="dxa"/>
            <w:vMerge w:val="restart"/>
            <w:tcBorders>
              <w:top w:val="single" w:color="000000" w:sz="4" w:space="0"/>
              <w:left w:val="single" w:color="000000" w:sz="4" w:space="0"/>
              <w:right w:val="single" w:color="000000" w:sz="4" w:space="0"/>
            </w:tcBorders>
            <w:noWrap w:val="0"/>
            <w:vAlign w:val="center"/>
          </w:tcPr>
          <w:p w14:paraId="4DBA6D3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温州市龙湾区永中街道刘宅村企业安置地块1号及5号地块四年租赁权     </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5A2EBDA1">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1号地块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6669C87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约10.1623亩</w:t>
            </w:r>
          </w:p>
        </w:tc>
        <w:tc>
          <w:tcPr>
            <w:tcW w:w="1440" w:type="dxa"/>
            <w:vMerge w:val="restart"/>
            <w:tcBorders>
              <w:top w:val="single" w:color="000000" w:sz="4" w:space="0"/>
              <w:left w:val="single" w:color="000000" w:sz="4" w:space="0"/>
              <w:right w:val="single" w:color="auto" w:sz="4" w:space="0"/>
            </w:tcBorders>
            <w:noWrap w:val="0"/>
            <w:vAlign w:val="center"/>
          </w:tcPr>
          <w:p w14:paraId="3A11ABD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773729元  </w:t>
            </w:r>
          </w:p>
        </w:tc>
        <w:tc>
          <w:tcPr>
            <w:tcW w:w="1128" w:type="dxa"/>
            <w:vMerge w:val="restart"/>
            <w:tcBorders>
              <w:top w:val="single" w:color="000000" w:sz="4" w:space="0"/>
              <w:left w:val="nil"/>
              <w:right w:val="single" w:color="auto" w:sz="4" w:space="0"/>
            </w:tcBorders>
            <w:noWrap w:val="0"/>
            <w:vAlign w:val="center"/>
          </w:tcPr>
          <w:p w14:paraId="495F6909">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bCs/>
                <w:kern w:val="2"/>
                <w:sz w:val="24"/>
                <w:szCs w:val="24"/>
                <w:highlight w:val="none"/>
                <w:u w:val="none"/>
                <w:lang w:val="en-US" w:eastAsia="zh-CN" w:bidi="ar-SA"/>
              </w:rPr>
              <w:t>50</w:t>
            </w:r>
            <w:r>
              <w:rPr>
                <w:rFonts w:hint="eastAsia" w:ascii="宋体" w:hAnsi="宋体" w:eastAsia="宋体" w:cs="宋体"/>
                <w:bCs/>
                <w:kern w:val="2"/>
                <w:sz w:val="24"/>
                <w:szCs w:val="24"/>
                <w:highlight w:val="none"/>
                <w:u w:val="none"/>
                <w:lang w:val="en-US" w:eastAsia="zh-CN" w:bidi="ar-SA"/>
              </w:rPr>
              <w:t xml:space="preserve">万元     </w:t>
            </w:r>
          </w:p>
        </w:tc>
      </w:tr>
      <w:tr w14:paraId="36FFF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706" w:type="dxa"/>
            <w:vMerge w:val="continue"/>
            <w:tcBorders>
              <w:left w:val="single" w:color="auto" w:sz="4" w:space="0"/>
              <w:right w:val="single" w:color="000000" w:sz="4" w:space="0"/>
            </w:tcBorders>
            <w:noWrap w:val="0"/>
            <w:vAlign w:val="center"/>
          </w:tcPr>
          <w:p w14:paraId="0C27E70E">
            <w:pPr>
              <w:keepNext w:val="0"/>
              <w:keepLines w:val="0"/>
              <w:suppressLineNumbers w:val="0"/>
              <w:spacing w:before="0" w:beforeAutospacing="0" w:after="0" w:afterAutospacing="0" w:line="300" w:lineRule="exact"/>
              <w:ind w:left="0" w:right="0"/>
              <w:jc w:val="center"/>
              <w:rPr>
                <w:rFonts w:hint="default"/>
                <w:szCs w:val="20"/>
              </w:rPr>
            </w:pPr>
          </w:p>
        </w:tc>
        <w:tc>
          <w:tcPr>
            <w:tcW w:w="3371" w:type="dxa"/>
            <w:vMerge w:val="continue"/>
            <w:tcBorders>
              <w:left w:val="single" w:color="000000" w:sz="4" w:space="0"/>
              <w:right w:val="single" w:color="000000" w:sz="4" w:space="0"/>
            </w:tcBorders>
            <w:noWrap w:val="0"/>
            <w:vAlign w:val="center"/>
          </w:tcPr>
          <w:p w14:paraId="0EB0433D">
            <w:pPr>
              <w:keepNext w:val="0"/>
              <w:keepLines w:val="0"/>
              <w:suppressLineNumbers w:val="0"/>
              <w:spacing w:before="0" w:beforeAutospacing="0" w:after="0" w:afterAutospacing="0" w:line="300" w:lineRule="exact"/>
              <w:ind w:left="0" w:right="0"/>
              <w:jc w:val="center"/>
              <w:rPr>
                <w:rFonts w:hint="default"/>
                <w:szCs w:val="20"/>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57DB28F3">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5号地块</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24C1437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sz w:val="24"/>
                <w:szCs w:val="24"/>
                <w:lang w:val="en-US" w:eastAsia="zh-CN"/>
              </w:rPr>
              <w:t>约3.9055亩</w:t>
            </w:r>
          </w:p>
        </w:tc>
        <w:tc>
          <w:tcPr>
            <w:tcW w:w="1440" w:type="dxa"/>
            <w:vMerge w:val="continue"/>
            <w:tcBorders>
              <w:left w:val="single" w:color="000000" w:sz="4" w:space="0"/>
              <w:right w:val="single" w:color="auto" w:sz="4" w:space="0"/>
            </w:tcBorders>
            <w:noWrap w:val="0"/>
            <w:vAlign w:val="center"/>
          </w:tcPr>
          <w:p w14:paraId="46FB0672">
            <w:pPr>
              <w:keepNext w:val="0"/>
              <w:keepLines w:val="0"/>
              <w:suppressLineNumbers w:val="0"/>
              <w:spacing w:before="0" w:beforeAutospacing="0" w:after="0" w:afterAutospacing="0" w:line="300" w:lineRule="exact"/>
              <w:ind w:left="0" w:right="0"/>
              <w:jc w:val="center"/>
              <w:rPr>
                <w:rFonts w:hint="default"/>
                <w:szCs w:val="20"/>
              </w:rPr>
            </w:pPr>
          </w:p>
        </w:tc>
        <w:tc>
          <w:tcPr>
            <w:tcW w:w="1128" w:type="dxa"/>
            <w:vMerge w:val="continue"/>
            <w:tcBorders>
              <w:left w:val="nil"/>
              <w:right w:val="single" w:color="auto" w:sz="4" w:space="0"/>
            </w:tcBorders>
            <w:noWrap w:val="0"/>
            <w:vAlign w:val="center"/>
          </w:tcPr>
          <w:p w14:paraId="56D70D6F">
            <w:pPr>
              <w:keepNext w:val="0"/>
              <w:keepLines w:val="0"/>
              <w:suppressLineNumbers w:val="0"/>
              <w:spacing w:before="0" w:beforeAutospacing="0" w:after="0" w:afterAutospacing="0" w:line="300" w:lineRule="exact"/>
              <w:ind w:left="0" w:right="0"/>
              <w:jc w:val="center"/>
              <w:rPr>
                <w:rFonts w:hint="default"/>
                <w:szCs w:val="20"/>
              </w:rPr>
            </w:pPr>
          </w:p>
        </w:tc>
      </w:tr>
      <w:tr w14:paraId="3DF5B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706" w:type="dxa"/>
            <w:vMerge w:val="continue"/>
            <w:tcBorders>
              <w:left w:val="single" w:color="auto" w:sz="4" w:space="0"/>
              <w:bottom w:val="single" w:color="000000" w:sz="4" w:space="0"/>
              <w:right w:val="single" w:color="000000" w:sz="4" w:space="0"/>
            </w:tcBorders>
            <w:noWrap w:val="0"/>
            <w:vAlign w:val="center"/>
          </w:tcPr>
          <w:p w14:paraId="30748DCC">
            <w:pPr>
              <w:keepNext w:val="0"/>
              <w:keepLines w:val="0"/>
              <w:suppressLineNumbers w:val="0"/>
              <w:spacing w:before="0" w:beforeAutospacing="0" w:after="0" w:afterAutospacing="0" w:line="300" w:lineRule="exact"/>
              <w:ind w:left="0" w:right="0"/>
              <w:jc w:val="center"/>
              <w:rPr>
                <w:rFonts w:hint="default"/>
                <w:szCs w:val="20"/>
              </w:rPr>
            </w:pPr>
          </w:p>
        </w:tc>
        <w:tc>
          <w:tcPr>
            <w:tcW w:w="3371" w:type="dxa"/>
            <w:vMerge w:val="continue"/>
            <w:tcBorders>
              <w:left w:val="single" w:color="000000" w:sz="4" w:space="0"/>
              <w:bottom w:val="single" w:color="000000" w:sz="4" w:space="0"/>
              <w:right w:val="single" w:color="000000" w:sz="4" w:space="0"/>
            </w:tcBorders>
            <w:noWrap w:val="0"/>
            <w:vAlign w:val="center"/>
          </w:tcPr>
          <w:p w14:paraId="05532129">
            <w:pPr>
              <w:keepNext w:val="0"/>
              <w:keepLines w:val="0"/>
              <w:suppressLineNumbers w:val="0"/>
              <w:spacing w:before="0" w:beforeAutospacing="0" w:after="0" w:afterAutospacing="0" w:line="300" w:lineRule="exact"/>
              <w:ind w:left="0" w:right="0"/>
              <w:jc w:val="center"/>
              <w:rPr>
                <w:rFonts w:hint="default"/>
                <w:szCs w:val="20"/>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14:paraId="2D769749">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sz w:val="24"/>
                <w:szCs w:val="24"/>
                <w:lang w:val="en-US" w:eastAsia="zh-CN"/>
              </w:rPr>
              <w:t>合计</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4E89E314">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约14.0678亩</w:t>
            </w:r>
          </w:p>
        </w:tc>
        <w:tc>
          <w:tcPr>
            <w:tcW w:w="1440" w:type="dxa"/>
            <w:vMerge w:val="continue"/>
            <w:tcBorders>
              <w:left w:val="single" w:color="000000" w:sz="4" w:space="0"/>
              <w:bottom w:val="single" w:color="000000" w:sz="4" w:space="0"/>
              <w:right w:val="single" w:color="auto" w:sz="4" w:space="0"/>
            </w:tcBorders>
            <w:noWrap w:val="0"/>
            <w:vAlign w:val="center"/>
          </w:tcPr>
          <w:p w14:paraId="76125F98">
            <w:pPr>
              <w:keepNext w:val="0"/>
              <w:keepLines w:val="0"/>
              <w:suppressLineNumbers w:val="0"/>
              <w:spacing w:before="0" w:beforeAutospacing="0" w:after="0" w:afterAutospacing="0" w:line="300" w:lineRule="exact"/>
              <w:ind w:left="0" w:right="0"/>
              <w:jc w:val="center"/>
              <w:rPr>
                <w:rFonts w:hint="default"/>
                <w:szCs w:val="20"/>
              </w:rPr>
            </w:pPr>
          </w:p>
        </w:tc>
        <w:tc>
          <w:tcPr>
            <w:tcW w:w="1128" w:type="dxa"/>
            <w:vMerge w:val="continue"/>
            <w:tcBorders>
              <w:left w:val="nil"/>
              <w:bottom w:val="single" w:color="000000" w:sz="4" w:space="0"/>
              <w:right w:val="single" w:color="auto" w:sz="4" w:space="0"/>
            </w:tcBorders>
            <w:noWrap w:val="0"/>
            <w:vAlign w:val="center"/>
          </w:tcPr>
          <w:p w14:paraId="4BFE6B7D">
            <w:pPr>
              <w:keepNext w:val="0"/>
              <w:keepLines w:val="0"/>
              <w:suppressLineNumbers w:val="0"/>
              <w:spacing w:before="0" w:beforeAutospacing="0" w:after="0" w:afterAutospacing="0" w:line="300" w:lineRule="exact"/>
              <w:ind w:left="0" w:right="0"/>
              <w:jc w:val="center"/>
              <w:rPr>
                <w:rFonts w:hint="default"/>
                <w:szCs w:val="20"/>
              </w:rPr>
            </w:pP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5" w:hRule="atLeast"/>
          <w:jc w:val="center"/>
        </w:trPr>
        <w:tc>
          <w:tcPr>
            <w:tcW w:w="9600" w:type="dxa"/>
            <w:gridSpan w:val="6"/>
            <w:tcBorders>
              <w:top w:val="single" w:color="000000" w:sz="4" w:space="0"/>
              <w:left w:val="single" w:color="auto" w:sz="4" w:space="0"/>
              <w:bottom w:val="single" w:color="000000" w:sz="4" w:space="0"/>
              <w:right w:val="single" w:color="auto" w:sz="4" w:space="0"/>
            </w:tcBorders>
            <w:noWrap w:val="0"/>
            <w:vAlign w:val="center"/>
          </w:tcPr>
          <w:p w14:paraId="51C5809B">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租期4年，租金（不含税）一年一付，先付后用，第1-3年租金为竞价成交价，第4年租金在第3年租金基础上3%。</w:t>
            </w:r>
          </w:p>
          <w:p w14:paraId="272BD552">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原承租人在同等条件下享有优先权，若原承租人成功竞得，2026年1月16日至成交之日租金，按原租赁合同价格进行结算；若原承租人未成功竞得，则给予腾空期1个月（成交之日开始计算），2026年1月16日至腾空完成之日租金，按原租赁合同价格进行结算。</w:t>
            </w:r>
          </w:p>
          <w:p w14:paraId="50929C9A">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w:t>
            </w:r>
            <w:r>
              <w:rPr>
                <w:rFonts w:hint="default"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租赁用途为货物堆场。</w:t>
            </w:r>
          </w:p>
          <w:p w14:paraId="0FD5A713">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w:t>
            </w:r>
            <w:r>
              <w:rPr>
                <w:rFonts w:hint="default"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竞得人不得搭建任何构建物，如有必需设备设施，一切审批手续及后续责任、费用均由竞得人自行承担。</w:t>
            </w:r>
          </w:p>
          <w:p w14:paraId="3A1809B9">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5.租赁期内，竞得人不得对标的物及周围环境产生污染。</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BC4B4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-3703955</wp:posOffset>
            </wp:positionV>
            <wp:extent cx="5271770" cy="5833110"/>
            <wp:effectExtent l="0" t="0" r="5080" b="15240"/>
            <wp:wrapNone/>
            <wp:docPr id="2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刘宅村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w:t>
      </w:r>
      <w:r>
        <w:rPr>
          <w:rFonts w:hint="eastAsia" w:ascii="宋体" w:hAnsi="宋体" w:cs="Times New Roman"/>
          <w:color w:val="auto"/>
          <w:sz w:val="24"/>
          <w:szCs w:val="24"/>
          <w:highlight w:val="none"/>
          <w:u w:val="none"/>
          <w:lang w:val="en-US" w:eastAsia="zh-CN"/>
        </w:rPr>
        <w:t>15万元</w:t>
      </w:r>
      <w:r>
        <w:rPr>
          <w:rFonts w:hint="eastAsia" w:ascii="宋体" w:hAnsi="宋体" w:eastAsia="宋体" w:cs="Times New Roman"/>
          <w:color w:val="auto"/>
          <w:sz w:val="24"/>
          <w:szCs w:val="24"/>
          <w:highlight w:val="none"/>
          <w:u w:val="none"/>
          <w:lang w:val="en-US" w:eastAsia="zh-CN"/>
        </w:rPr>
        <w:t>。</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11</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温州市龙湾区永中街道刘宅村集体经济组织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5月6日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17C302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w:t>
      </w:r>
      <w:r>
        <w:rPr>
          <w:rFonts w:hint="eastAsia" w:ascii="宋体" w:hAnsi="宋体" w:cs="宋体"/>
          <w:color w:val="auto"/>
          <w:sz w:val="24"/>
          <w:szCs w:val="24"/>
          <w:highlight w:val="none"/>
          <w:lang w:val="en-US" w:eastAsia="zh-CN"/>
        </w:rPr>
        <w:t>首</w:t>
      </w:r>
      <w:r>
        <w:rPr>
          <w:rFonts w:hint="default" w:ascii="宋体" w:hAnsi="宋体" w:eastAsia="宋体" w:cs="宋体"/>
          <w:color w:val="auto"/>
          <w:sz w:val="24"/>
          <w:szCs w:val="24"/>
          <w:highlight w:val="none"/>
          <w:lang w:val="en-US" w:eastAsia="zh-CN"/>
        </w:rPr>
        <w:t>年租金起始价成交。</w:t>
      </w:r>
    </w:p>
    <w:p w14:paraId="0D270D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2026年5月6日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643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2026年5月12日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8791B2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温州市龙湾区永中街道刘宅村集体经济组织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371"/>
        <w:gridCol w:w="1115"/>
        <w:gridCol w:w="1810"/>
        <w:gridCol w:w="1470"/>
        <w:gridCol w:w="1128"/>
      </w:tblGrid>
      <w:tr w14:paraId="41E72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CB9ABA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71" w:type="dxa"/>
            <w:tcBorders>
              <w:top w:val="single" w:color="000000" w:sz="4" w:space="0"/>
              <w:left w:val="single" w:color="000000" w:sz="4" w:space="0"/>
              <w:bottom w:val="single" w:color="000000" w:sz="4" w:space="0"/>
              <w:right w:val="single" w:color="000000" w:sz="4" w:space="0"/>
            </w:tcBorders>
            <w:noWrap w:val="0"/>
            <w:vAlign w:val="center"/>
          </w:tcPr>
          <w:p w14:paraId="54276D4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925" w:type="dxa"/>
            <w:gridSpan w:val="2"/>
            <w:tcBorders>
              <w:top w:val="single" w:color="000000" w:sz="4" w:space="0"/>
              <w:left w:val="single" w:color="000000" w:sz="4" w:space="0"/>
              <w:bottom w:val="single" w:color="000000" w:sz="4" w:space="0"/>
              <w:right w:val="single" w:color="000000" w:sz="4" w:space="0"/>
            </w:tcBorders>
            <w:noWrap w:val="0"/>
            <w:vAlign w:val="center"/>
          </w:tcPr>
          <w:p w14:paraId="1CDFB13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1713BBE3">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7DABED4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149103E9">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10FD356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2D8A2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706" w:type="dxa"/>
            <w:vMerge w:val="restart"/>
            <w:tcBorders>
              <w:top w:val="single" w:color="000000" w:sz="4" w:space="0"/>
              <w:left w:val="single" w:color="auto" w:sz="4" w:space="0"/>
              <w:right w:val="single" w:color="000000" w:sz="4" w:space="0"/>
            </w:tcBorders>
            <w:noWrap w:val="0"/>
            <w:vAlign w:val="center"/>
          </w:tcPr>
          <w:p w14:paraId="66D29D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3371" w:type="dxa"/>
            <w:vMerge w:val="restart"/>
            <w:tcBorders>
              <w:top w:val="single" w:color="000000" w:sz="4" w:space="0"/>
              <w:left w:val="single" w:color="000000" w:sz="4" w:space="0"/>
              <w:right w:val="single" w:color="000000" w:sz="4" w:space="0"/>
            </w:tcBorders>
            <w:noWrap w:val="0"/>
            <w:vAlign w:val="center"/>
          </w:tcPr>
          <w:p w14:paraId="14E8D4AC">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温州市龙湾区永中街道刘宅村企业安置地块1号及5号地块四年租赁权     </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14:paraId="448F0606">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1号地块 </w:t>
            </w:r>
          </w:p>
        </w:tc>
        <w:tc>
          <w:tcPr>
            <w:tcW w:w="1810" w:type="dxa"/>
            <w:tcBorders>
              <w:top w:val="single" w:color="000000" w:sz="4" w:space="0"/>
              <w:left w:val="single" w:color="000000" w:sz="4" w:space="0"/>
              <w:bottom w:val="single" w:color="000000" w:sz="4" w:space="0"/>
              <w:right w:val="single" w:color="000000" w:sz="4" w:space="0"/>
            </w:tcBorders>
            <w:noWrap w:val="0"/>
            <w:vAlign w:val="center"/>
          </w:tcPr>
          <w:p w14:paraId="2EFE976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约10.1623亩</w:t>
            </w:r>
          </w:p>
        </w:tc>
        <w:tc>
          <w:tcPr>
            <w:tcW w:w="1470" w:type="dxa"/>
            <w:vMerge w:val="restart"/>
            <w:tcBorders>
              <w:top w:val="single" w:color="000000" w:sz="4" w:space="0"/>
              <w:left w:val="single" w:color="000000" w:sz="4" w:space="0"/>
              <w:right w:val="single" w:color="auto" w:sz="4" w:space="0"/>
            </w:tcBorders>
            <w:noWrap w:val="0"/>
            <w:vAlign w:val="center"/>
          </w:tcPr>
          <w:p w14:paraId="62421C2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773729元  </w:t>
            </w:r>
          </w:p>
        </w:tc>
        <w:tc>
          <w:tcPr>
            <w:tcW w:w="1128" w:type="dxa"/>
            <w:vMerge w:val="restart"/>
            <w:tcBorders>
              <w:top w:val="single" w:color="000000" w:sz="4" w:space="0"/>
              <w:left w:val="nil"/>
              <w:right w:val="single" w:color="auto" w:sz="4" w:space="0"/>
            </w:tcBorders>
            <w:noWrap w:val="0"/>
            <w:vAlign w:val="center"/>
          </w:tcPr>
          <w:p w14:paraId="04D53449">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bCs/>
                <w:kern w:val="2"/>
                <w:sz w:val="24"/>
                <w:szCs w:val="24"/>
                <w:highlight w:val="none"/>
                <w:u w:val="none"/>
                <w:lang w:val="en-US" w:eastAsia="zh-CN" w:bidi="ar-SA"/>
              </w:rPr>
              <w:t>50</w:t>
            </w:r>
            <w:r>
              <w:rPr>
                <w:rFonts w:hint="eastAsia" w:ascii="宋体" w:hAnsi="宋体" w:eastAsia="宋体" w:cs="宋体"/>
                <w:bCs/>
                <w:kern w:val="2"/>
                <w:sz w:val="24"/>
                <w:szCs w:val="24"/>
                <w:highlight w:val="none"/>
                <w:u w:val="none"/>
                <w:lang w:val="en-US" w:eastAsia="zh-CN" w:bidi="ar-SA"/>
              </w:rPr>
              <w:t xml:space="preserve">万元     </w:t>
            </w:r>
          </w:p>
        </w:tc>
      </w:tr>
      <w:tr w14:paraId="406D7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706" w:type="dxa"/>
            <w:vMerge w:val="continue"/>
            <w:tcBorders>
              <w:left w:val="single" w:color="auto" w:sz="4" w:space="0"/>
              <w:right w:val="single" w:color="000000" w:sz="4" w:space="0"/>
            </w:tcBorders>
            <w:noWrap w:val="0"/>
            <w:vAlign w:val="center"/>
          </w:tcPr>
          <w:p w14:paraId="4BC9084D">
            <w:pPr>
              <w:keepNext w:val="0"/>
              <w:keepLines w:val="0"/>
              <w:suppressLineNumbers w:val="0"/>
              <w:spacing w:before="0" w:beforeAutospacing="0" w:after="0" w:afterAutospacing="0" w:line="300" w:lineRule="exact"/>
              <w:ind w:left="0" w:leftChars="0" w:right="0" w:rightChars="0"/>
              <w:jc w:val="center"/>
              <w:rPr>
                <w:rFonts w:hint="default"/>
                <w:szCs w:val="20"/>
              </w:rPr>
            </w:pPr>
          </w:p>
        </w:tc>
        <w:tc>
          <w:tcPr>
            <w:tcW w:w="3371" w:type="dxa"/>
            <w:vMerge w:val="continue"/>
            <w:tcBorders>
              <w:left w:val="single" w:color="000000" w:sz="4" w:space="0"/>
              <w:right w:val="single" w:color="000000" w:sz="4" w:space="0"/>
            </w:tcBorders>
            <w:noWrap w:val="0"/>
            <w:vAlign w:val="center"/>
          </w:tcPr>
          <w:p w14:paraId="10460AAB">
            <w:pPr>
              <w:keepNext w:val="0"/>
              <w:keepLines w:val="0"/>
              <w:suppressLineNumbers w:val="0"/>
              <w:spacing w:before="0" w:beforeAutospacing="0" w:after="0" w:afterAutospacing="0" w:line="300" w:lineRule="exact"/>
              <w:ind w:left="0" w:right="0"/>
              <w:jc w:val="center"/>
              <w:rPr>
                <w:rFonts w:hint="default"/>
                <w:szCs w:val="20"/>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14:paraId="3AEB6FC1">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5号地块</w:t>
            </w:r>
          </w:p>
        </w:tc>
        <w:tc>
          <w:tcPr>
            <w:tcW w:w="1810" w:type="dxa"/>
            <w:tcBorders>
              <w:top w:val="single" w:color="000000" w:sz="4" w:space="0"/>
              <w:left w:val="single" w:color="000000" w:sz="4" w:space="0"/>
              <w:bottom w:val="single" w:color="000000" w:sz="4" w:space="0"/>
              <w:right w:val="single" w:color="000000" w:sz="4" w:space="0"/>
            </w:tcBorders>
            <w:noWrap w:val="0"/>
            <w:vAlign w:val="center"/>
          </w:tcPr>
          <w:p w14:paraId="56DD33B4">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sz w:val="24"/>
                <w:szCs w:val="24"/>
                <w:lang w:val="en-US" w:eastAsia="zh-CN"/>
              </w:rPr>
              <w:t>约3.9055亩</w:t>
            </w:r>
          </w:p>
        </w:tc>
        <w:tc>
          <w:tcPr>
            <w:tcW w:w="1470" w:type="dxa"/>
            <w:vMerge w:val="continue"/>
            <w:tcBorders>
              <w:left w:val="single" w:color="000000" w:sz="4" w:space="0"/>
              <w:right w:val="single" w:color="auto" w:sz="4" w:space="0"/>
            </w:tcBorders>
            <w:noWrap w:val="0"/>
            <w:vAlign w:val="center"/>
          </w:tcPr>
          <w:p w14:paraId="0499A68A">
            <w:pPr>
              <w:keepNext w:val="0"/>
              <w:keepLines w:val="0"/>
              <w:suppressLineNumbers w:val="0"/>
              <w:spacing w:before="0" w:beforeAutospacing="0" w:after="0" w:afterAutospacing="0" w:line="300" w:lineRule="exact"/>
              <w:ind w:left="0" w:leftChars="0" w:right="0" w:rightChars="0"/>
              <w:jc w:val="center"/>
              <w:rPr>
                <w:rFonts w:hint="default"/>
                <w:szCs w:val="20"/>
              </w:rPr>
            </w:pPr>
          </w:p>
        </w:tc>
        <w:tc>
          <w:tcPr>
            <w:tcW w:w="1128" w:type="dxa"/>
            <w:vMerge w:val="continue"/>
            <w:tcBorders>
              <w:left w:val="nil"/>
              <w:right w:val="single" w:color="auto" w:sz="4" w:space="0"/>
            </w:tcBorders>
            <w:noWrap w:val="0"/>
            <w:vAlign w:val="center"/>
          </w:tcPr>
          <w:p w14:paraId="07334F5E">
            <w:pPr>
              <w:keepNext w:val="0"/>
              <w:keepLines w:val="0"/>
              <w:suppressLineNumbers w:val="0"/>
              <w:spacing w:before="0" w:beforeAutospacing="0" w:after="0" w:afterAutospacing="0" w:line="300" w:lineRule="exact"/>
              <w:ind w:left="0" w:leftChars="0" w:right="0" w:rightChars="0"/>
              <w:jc w:val="center"/>
              <w:rPr>
                <w:rFonts w:hint="default"/>
                <w:szCs w:val="20"/>
              </w:rPr>
            </w:pPr>
          </w:p>
        </w:tc>
      </w:tr>
      <w:tr w14:paraId="47AB2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706" w:type="dxa"/>
            <w:vMerge w:val="continue"/>
            <w:tcBorders>
              <w:left w:val="single" w:color="auto" w:sz="4" w:space="0"/>
              <w:bottom w:val="single" w:color="000000" w:sz="4" w:space="0"/>
              <w:right w:val="single" w:color="000000" w:sz="4" w:space="0"/>
            </w:tcBorders>
            <w:noWrap w:val="0"/>
            <w:vAlign w:val="center"/>
          </w:tcPr>
          <w:p w14:paraId="30590C9D">
            <w:pPr>
              <w:keepNext w:val="0"/>
              <w:keepLines w:val="0"/>
              <w:suppressLineNumbers w:val="0"/>
              <w:spacing w:before="0" w:beforeAutospacing="0" w:after="0" w:afterAutospacing="0" w:line="300" w:lineRule="exact"/>
              <w:ind w:left="0" w:leftChars="0" w:right="0" w:rightChars="0"/>
              <w:jc w:val="center"/>
              <w:rPr>
                <w:rFonts w:hint="default"/>
                <w:szCs w:val="20"/>
              </w:rPr>
            </w:pPr>
          </w:p>
        </w:tc>
        <w:tc>
          <w:tcPr>
            <w:tcW w:w="3371" w:type="dxa"/>
            <w:vMerge w:val="continue"/>
            <w:tcBorders>
              <w:left w:val="single" w:color="000000" w:sz="4" w:space="0"/>
              <w:bottom w:val="single" w:color="000000" w:sz="4" w:space="0"/>
              <w:right w:val="single" w:color="000000" w:sz="4" w:space="0"/>
            </w:tcBorders>
            <w:noWrap w:val="0"/>
            <w:vAlign w:val="center"/>
          </w:tcPr>
          <w:p w14:paraId="6E4A6744">
            <w:pPr>
              <w:keepNext w:val="0"/>
              <w:keepLines w:val="0"/>
              <w:suppressLineNumbers w:val="0"/>
              <w:spacing w:before="0" w:beforeAutospacing="0" w:after="0" w:afterAutospacing="0" w:line="300" w:lineRule="exact"/>
              <w:ind w:left="0" w:right="0"/>
              <w:jc w:val="center"/>
              <w:rPr>
                <w:rFonts w:hint="default"/>
                <w:szCs w:val="20"/>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14:paraId="75F2CB3E">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sz w:val="24"/>
                <w:szCs w:val="24"/>
                <w:lang w:val="en-US" w:eastAsia="zh-CN"/>
              </w:rPr>
              <w:t>合计</w:t>
            </w:r>
          </w:p>
        </w:tc>
        <w:tc>
          <w:tcPr>
            <w:tcW w:w="1810" w:type="dxa"/>
            <w:tcBorders>
              <w:top w:val="single" w:color="000000" w:sz="4" w:space="0"/>
              <w:left w:val="single" w:color="000000" w:sz="4" w:space="0"/>
              <w:bottom w:val="single" w:color="000000" w:sz="4" w:space="0"/>
              <w:right w:val="single" w:color="000000" w:sz="4" w:space="0"/>
            </w:tcBorders>
            <w:noWrap w:val="0"/>
            <w:vAlign w:val="center"/>
          </w:tcPr>
          <w:p w14:paraId="4B918A87">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约14.0678亩</w:t>
            </w:r>
          </w:p>
        </w:tc>
        <w:tc>
          <w:tcPr>
            <w:tcW w:w="1470" w:type="dxa"/>
            <w:vMerge w:val="continue"/>
            <w:tcBorders>
              <w:left w:val="single" w:color="000000" w:sz="4" w:space="0"/>
              <w:bottom w:val="single" w:color="000000" w:sz="4" w:space="0"/>
              <w:right w:val="single" w:color="auto" w:sz="4" w:space="0"/>
            </w:tcBorders>
            <w:noWrap w:val="0"/>
            <w:vAlign w:val="center"/>
          </w:tcPr>
          <w:p w14:paraId="79F5948E">
            <w:pPr>
              <w:keepNext w:val="0"/>
              <w:keepLines w:val="0"/>
              <w:suppressLineNumbers w:val="0"/>
              <w:spacing w:before="0" w:beforeAutospacing="0" w:after="0" w:afterAutospacing="0" w:line="300" w:lineRule="exact"/>
              <w:ind w:left="0" w:leftChars="0" w:right="0" w:rightChars="0"/>
              <w:jc w:val="center"/>
              <w:rPr>
                <w:rFonts w:hint="default"/>
                <w:szCs w:val="20"/>
              </w:rPr>
            </w:pPr>
          </w:p>
        </w:tc>
        <w:tc>
          <w:tcPr>
            <w:tcW w:w="1128" w:type="dxa"/>
            <w:vMerge w:val="continue"/>
            <w:tcBorders>
              <w:left w:val="nil"/>
              <w:bottom w:val="single" w:color="000000" w:sz="4" w:space="0"/>
              <w:right w:val="single" w:color="auto" w:sz="4" w:space="0"/>
            </w:tcBorders>
            <w:noWrap w:val="0"/>
            <w:vAlign w:val="center"/>
          </w:tcPr>
          <w:p w14:paraId="52234FA7">
            <w:pPr>
              <w:keepNext w:val="0"/>
              <w:keepLines w:val="0"/>
              <w:suppressLineNumbers w:val="0"/>
              <w:spacing w:before="0" w:beforeAutospacing="0" w:after="0" w:afterAutospacing="0" w:line="300" w:lineRule="exact"/>
              <w:ind w:left="0" w:leftChars="0" w:right="0" w:rightChars="0"/>
              <w:jc w:val="center"/>
              <w:rPr>
                <w:rFonts w:hint="default"/>
                <w:szCs w:val="20"/>
              </w:rPr>
            </w:pPr>
          </w:p>
        </w:tc>
      </w:tr>
      <w:tr w14:paraId="2A2CA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5" w:hRule="atLeast"/>
          <w:jc w:val="center"/>
        </w:trPr>
        <w:tc>
          <w:tcPr>
            <w:tcW w:w="9600" w:type="dxa"/>
            <w:gridSpan w:val="6"/>
            <w:tcBorders>
              <w:top w:val="single" w:color="000000" w:sz="4" w:space="0"/>
              <w:left w:val="single" w:color="auto" w:sz="4" w:space="0"/>
              <w:bottom w:val="single" w:color="000000" w:sz="4" w:space="0"/>
              <w:right w:val="single" w:color="auto" w:sz="4" w:space="0"/>
            </w:tcBorders>
            <w:noWrap w:val="0"/>
            <w:vAlign w:val="center"/>
          </w:tcPr>
          <w:p w14:paraId="74C7C922">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租期4年，租金（不含税）一年一付，先付后用，第1-3年租金为竞价成交价，第4年租金在第3年租金基础上3%。</w:t>
            </w:r>
          </w:p>
          <w:p w14:paraId="1E6159D5">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原承租人在同等条件下享有优先权，若原承租人成功竞得，2026年1月16日至成交之日租金，按原租赁合同价格进行结算；若原承租人未成功竞得，则给予腾空期1个月（成交之日开始计算），2026年1月16日至腾空完成之日租金，按原租赁合同价格进行结算。</w:t>
            </w:r>
          </w:p>
          <w:p w14:paraId="3FDC3457">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w:t>
            </w:r>
            <w:r>
              <w:rPr>
                <w:rFonts w:hint="default"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租赁用途为货物堆场。</w:t>
            </w:r>
          </w:p>
          <w:p w14:paraId="1585A1C8">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w:t>
            </w:r>
            <w:r>
              <w:rPr>
                <w:rFonts w:hint="default"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竞得人不得搭建任何构建物，如有必需设备设施，一切审批手续及后续责任、费用均由竞得人自行承担。</w:t>
            </w:r>
          </w:p>
          <w:p w14:paraId="0031F94F">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5.租赁期内，竞得人不得对标的物及周围环境产生污染。</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-1671955</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4年租金总额，采用</w:t>
            </w:r>
            <w:r>
              <w:rPr>
                <w:rFonts w:hint="eastAsia" w:cs="Times New Roman"/>
                <w:b w:val="0"/>
                <w:bCs w:val="0"/>
                <w:i w:val="0"/>
                <w:caps w:val="0"/>
                <w:color w:val="auto"/>
                <w:spacing w:val="0"/>
                <w:w w:val="100"/>
                <w:sz w:val="21"/>
                <w:highlight w:val="none"/>
              </w:rPr>
              <w:t>差额定率累进法计算。</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-3693160</wp:posOffset>
            </wp:positionV>
            <wp:extent cx="5271770" cy="5833110"/>
            <wp:effectExtent l="0" t="0" r="5080" b="15240"/>
            <wp:wrapNone/>
            <wp:docPr id="28"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236855</wp:posOffset>
            </wp:positionH>
            <wp:positionV relativeFrom="paragraph">
              <wp:posOffset>-1820545</wp:posOffset>
            </wp:positionV>
            <wp:extent cx="5271770" cy="5833110"/>
            <wp:effectExtent l="0" t="0" r="5080" b="15240"/>
            <wp:wrapNone/>
            <wp:docPr id="29"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2026年5月6日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6848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5月12日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8"/>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租期4年，租金（不含税）一年一付，先付后用，第1-3年租金为竞价成交价，第4年租金在第3年租金基础上3%。</w:t>
      </w:r>
    </w:p>
    <w:p w14:paraId="47D90C0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具体租赁事项以竞得人与温州市龙湾区永中街道刘宅村集体经济组织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keepNext w:val="0"/>
        <w:keepLines w:val="0"/>
        <w:pageBreakBefore w:val="0"/>
        <w:widowControl/>
        <w:kinsoku/>
        <w:wordWrap/>
        <w:overflowPunct/>
        <w:topLinePunct w:val="0"/>
        <w:bidi w:val="0"/>
        <w:snapToGrid/>
        <w:spacing w:line="440" w:lineRule="exact"/>
        <w:jc w:val="left"/>
        <w:textAlignment w:val="top"/>
        <w:rPr>
          <w:rFonts w:hint="eastAsia" w:eastAsia="宋体"/>
          <w:sz w:val="24"/>
          <w:szCs w:val="24"/>
          <w:highlight w:val="none"/>
          <w:lang w:eastAsia="zh-CN"/>
        </w:rPr>
      </w:pPr>
      <w:r>
        <w:rPr>
          <w:rFonts w:hint="eastAsia"/>
          <w:sz w:val="24"/>
          <w:szCs w:val="24"/>
          <w:highlight w:val="none"/>
        </w:rPr>
        <w:t>甲方：</w:t>
      </w:r>
      <w:r>
        <w:rPr>
          <w:rFonts w:hint="eastAsia" w:ascii="宋体" w:hAnsi="宋体"/>
          <w:color w:val="auto"/>
          <w:sz w:val="24"/>
          <w:highlight w:val="none"/>
          <w:lang w:eastAsia="zh-CN"/>
        </w:rPr>
        <w:t>温州市龙湾区永中街道刘宅村集体经济组织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4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C6AECD9">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5.</w:t>
      </w:r>
      <w:r>
        <w:rPr>
          <w:rFonts w:hint="eastAsia" w:ascii="宋体" w:hAnsi="宋体"/>
          <w:b w:val="0"/>
          <w:bCs w:val="0"/>
          <w:color w:val="auto"/>
          <w:sz w:val="24"/>
          <w:szCs w:val="24"/>
          <w:u w:val="single"/>
          <w:lang w:val="en-US" w:eastAsia="zh-CN"/>
        </w:rPr>
        <w:t>租期4年，租金（不含税）一年一付，先付后用，第1-3年租金为竞价成交价，第4年租金在第3年租金基础上3%；下期租金应在上期租赁期限届满前1个月付清。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582930</wp:posOffset>
            </wp:positionH>
            <wp:positionV relativeFrom="paragraph">
              <wp:posOffset>-1673860</wp:posOffset>
            </wp:positionV>
            <wp:extent cx="5271770" cy="5833110"/>
            <wp:effectExtent l="0" t="0" r="5080" b="15240"/>
            <wp:wrapNone/>
            <wp:docPr id="14"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582930</wp:posOffset>
            </wp:positionH>
            <wp:positionV relativeFrom="paragraph">
              <wp:posOffset>-835660</wp:posOffset>
            </wp:positionV>
            <wp:extent cx="5271770" cy="5833110"/>
            <wp:effectExtent l="0" t="0" r="5080" b="15240"/>
            <wp:wrapNone/>
            <wp:docPr id="2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051E6BD1">
      <w:pPr>
        <w:keepNext w:val="0"/>
        <w:keepLines w:val="0"/>
        <w:pageBreakBefore w:val="0"/>
        <w:kinsoku/>
        <w:wordWrap/>
        <w:overflowPunct/>
        <w:topLinePunct w:val="0"/>
        <w:bidi w:val="0"/>
        <w:snapToGrid/>
        <w:spacing w:line="440" w:lineRule="exact"/>
        <w:ind w:firstLine="480" w:firstLineChars="200"/>
        <w:textAlignment w:val="auto"/>
        <w:rPr>
          <w:rFonts w:hint="eastAsia" w:cs="宋体"/>
          <w:b/>
          <w:bCs/>
          <w:kern w:val="0"/>
          <w:sz w:val="24"/>
          <w:szCs w:val="24"/>
          <w:u w:val="single"/>
          <w:lang w:val="en-US" w:eastAsia="zh-CN"/>
        </w:rPr>
      </w:pPr>
      <w:r>
        <w:rPr>
          <w:rFonts w:hint="eastAsia" w:cs="宋体"/>
          <w:b w:val="0"/>
          <w:bCs w:val="0"/>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C708FA9">
      <w:pPr>
        <w:keepNext w:val="0"/>
        <w:keepLines w:val="0"/>
        <w:pageBreakBefore w:val="0"/>
        <w:kinsoku/>
        <w:wordWrap/>
        <w:overflowPunct/>
        <w:topLinePunct w:val="0"/>
        <w:bidi w:val="0"/>
        <w:snapToGrid/>
        <w:spacing w:line="44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A720CB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23D1032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p>
    <w:p w14:paraId="0385BB15">
      <w:pPr>
        <w:keepNext w:val="0"/>
        <w:keepLines w:val="0"/>
        <w:pageBreakBefore w:val="0"/>
        <w:kinsoku/>
        <w:wordWrap/>
        <w:overflowPunct/>
        <w:topLinePunct w:val="0"/>
        <w:bidi w:val="0"/>
        <w:snapToGrid/>
        <w:spacing w:line="360" w:lineRule="auto"/>
        <w:ind w:firstLine="1440" w:firstLineChars="600"/>
        <w:jc w:val="right"/>
        <w:textAlignment w:val="auto"/>
        <w:rPr>
          <w:rFonts w:hint="eastAsia" w:ascii="宋体" w:hAnsi="宋体" w:cs="宋体"/>
          <w:sz w:val="24"/>
          <w:szCs w:val="24"/>
        </w:rPr>
      </w:pPr>
      <w:r>
        <w:rPr>
          <w:rFonts w:hint="eastAsia" w:ascii="宋体" w:hAnsi="宋体" w:eastAsia="宋体" w:cs="宋体"/>
          <w:kern w:val="0"/>
          <w:sz w:val="24"/>
          <w:szCs w:val="24"/>
        </w:rPr>
        <w:t>签订日期：    年    月   日</w:t>
      </w:r>
    </w:p>
    <w:p w14:paraId="601BAF6F">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-33655</wp:posOffset>
                </wp:positionH>
                <wp:positionV relativeFrom="paragraph">
                  <wp:posOffset>130810</wp:posOffset>
                </wp:positionV>
                <wp:extent cx="6164580" cy="918845"/>
                <wp:effectExtent l="4445" t="4445" r="22225" b="10160"/>
                <wp:wrapNone/>
                <wp:docPr id="10" name="文本框 12"/>
                <wp:cNvGraphicFramePr/>
                <a:graphic xmlns:a="http://schemas.openxmlformats.org/drawingml/2006/main">
                  <a:graphicData uri="http://schemas.microsoft.com/office/word/2010/wordprocessingShape">
                    <wps:wsp>
                      <wps:cNvSpPr txBox="1"/>
                      <wps:spPr>
                        <a:xfrm>
                          <a:off x="0" y="0"/>
                          <a:ext cx="6164580" cy="918845"/>
                        </a:xfrm>
                        <a:prstGeom prst="rect">
                          <a:avLst/>
                        </a:prstGeom>
                        <a:noFill/>
                        <a:ln w="9525" cap="flat" cmpd="sng">
                          <a:solidFill>
                            <a:srgbClr val="000000"/>
                          </a:solidFill>
                          <a:prstDash val="solid"/>
                          <a:miter/>
                          <a:headEnd type="none" w="med" len="med"/>
                          <a:tailEnd type="none" w="med" len="med"/>
                        </a:ln>
                        <a:effectLst/>
                      </wps:spPr>
                      <wps:txb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2.65pt;margin-top:10.3pt;height:72.35pt;width:485.4pt;z-index:251675648;mso-width-relative:page;mso-height-relative:page;" filled="f" stroked="t" coordsize="21600,21600" o:gfxdata="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omYfWAAAACQEAAA8AAAAAAAAA&#10;AQAgAAAAIgAAAGRycy9kb3ducmV2LnhtbFBLAQIUABQAAAAIAIdO4kCv9ArREwIAACsEAAAOAAAA&#10;AAAAAAEAIAAAACUBAABkcnMvZTJvRG9jLnhtbFBLBQYAAAAABgAGAFkBAACqBQAAAAA=&#10;">
                <v:fill on="f" focussize="0,0"/>
                <v:stroke color="#000000" joinstyle="miter"/>
                <v:imagedata o:title=""/>
                <o:lock v:ext="edit" aspectratio="f"/>
                <v:textbo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50641239">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E2726E"/>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8F1781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6A5889"/>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012EA"/>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ED5ADE"/>
    <w:rsid w:val="23F23130"/>
    <w:rsid w:val="2403533D"/>
    <w:rsid w:val="241557CC"/>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E972D4"/>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46798F"/>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BF525D"/>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0F9685C"/>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0A57EB"/>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7A3F50"/>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4998</Words>
  <Characters>5187</Characters>
  <Lines>74</Lines>
  <Paragraphs>20</Paragraphs>
  <TotalTime>22</TotalTime>
  <ScaleCrop>false</ScaleCrop>
  <LinksUpToDate>false</LinksUpToDate>
  <CharactersWithSpaces>5542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2026-05-06T01:05:59Z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F0C237F786B5402597BB35B80429E2EC_13</vt:lpwstr>
  </property>
  <property fmtid="{D5CDD505-2E9C-101B-9397-08002B2CF9AE}" pid="4" name="KSOTemplateDocerSaveRecord">
    <vt:lpwstr>eyJoZGlkIjoiZWY3YzVmZWRlOTZkZTAyYmRiYmYxNjRkOTE5OWVjNGEiLCJ1c2VySWQiOiIzODY3MjAwMTYifQ==</vt:lpwstr>
  </property>
</Properties>
</file>