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559435</wp:posOffset>
            </wp:positionH>
            <wp:positionV relativeFrom="paragraph">
              <wp:posOffset>384810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98B9BB8">
      <w:pPr>
        <w:jc w:val="center"/>
        <w:rPr>
          <w:rFonts w:hint="eastAsia" w:ascii="宋体" w:hAnsi="宋体"/>
          <w:b/>
          <w:color w:val="auto"/>
          <w:sz w:val="48"/>
        </w:rPr>
      </w:pPr>
    </w:p>
    <w:p w14:paraId="4E37A6F7">
      <w:pPr>
        <w:jc w:val="center"/>
        <w:rPr>
          <w:rFonts w:hint="eastAsia" w:ascii="宋体" w:hAnsi="宋体"/>
          <w:b/>
          <w:color w:val="auto"/>
          <w:sz w:val="48"/>
        </w:rPr>
      </w:pPr>
    </w:p>
    <w:p w14:paraId="6D4043EC">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温州市龙湾区蒲州街道括苍西路82号江前村办公楼1楼、</w:t>
      </w: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沿街店面及2楼两宗房产五年租赁权竞价文件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49BFDECA">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304EF0E4">
      <w:pPr>
        <w:jc w:val="both"/>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2026年5月21日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79972E1D">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温州市龙湾区蒲州街道括苍西路82号江前村办公楼1楼、</w:t>
      </w: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沿街店面及2楼两宗房产五年租赁权竞价公告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284480</wp:posOffset>
            </wp:positionH>
            <wp:positionV relativeFrom="paragraph">
              <wp:posOffset>433070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2026年5月28日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2026年5月29日上午10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温州市龙湾区蒲州街道括苍西路82号江前村办公楼1楼、沿街店面及2楼两宗房产五年租赁权权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48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3213"/>
        <w:gridCol w:w="1624"/>
        <w:gridCol w:w="1624"/>
        <w:gridCol w:w="1237"/>
        <w:gridCol w:w="1172"/>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213"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248" w:type="dxa"/>
            <w:gridSpan w:val="2"/>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7"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49B30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1</w:t>
            </w:r>
          </w:p>
        </w:tc>
        <w:tc>
          <w:tcPr>
            <w:tcW w:w="3213" w:type="dxa"/>
            <w:vMerge w:val="restart"/>
            <w:tcBorders>
              <w:top w:val="single" w:color="000000" w:sz="4" w:space="0"/>
              <w:left w:val="single" w:color="000000" w:sz="4" w:space="0"/>
              <w:right w:val="single" w:color="000000" w:sz="4" w:space="0"/>
            </w:tcBorders>
            <w:noWrap w:val="0"/>
            <w:vAlign w:val="center"/>
          </w:tcPr>
          <w:p w14:paraId="5C1D9D59">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Theme="majorEastAsia" w:hAnsiTheme="majorEastAsia" w:eastAsiaTheme="majorEastAsia" w:cstheme="majorEastAsia"/>
                <w:bCs/>
                <w:sz w:val="24"/>
                <w:szCs w:val="24"/>
                <w:highlight w:val="none"/>
                <w:lang w:val="en-US" w:eastAsia="zh-CN"/>
              </w:rPr>
              <w:t>温州市龙湾区蒲州街道括苍西路82号江前村办公楼1楼及沿街店面五年租赁权</w:t>
            </w:r>
          </w:p>
        </w:tc>
        <w:tc>
          <w:tcPr>
            <w:tcW w:w="1624" w:type="dxa"/>
            <w:tcBorders>
              <w:top w:val="single" w:color="000000" w:sz="4" w:space="0"/>
              <w:left w:val="single" w:color="000000" w:sz="4" w:space="0"/>
              <w:bottom w:val="single" w:color="000000" w:sz="4" w:space="0"/>
              <w:right w:val="single" w:color="000000" w:sz="4" w:space="0"/>
            </w:tcBorders>
            <w:noWrap w:val="0"/>
            <w:vAlign w:val="center"/>
          </w:tcPr>
          <w:p w14:paraId="68CB7050">
            <w:pPr>
              <w:keepNext w:val="0"/>
              <w:keepLines w:val="0"/>
              <w:suppressLineNumbers w:val="0"/>
              <w:spacing w:before="0" w:beforeAutospacing="0" w:after="0" w:afterAutospacing="0" w:line="300" w:lineRule="exact"/>
              <w:ind w:left="0" w:right="0"/>
              <w:jc w:val="center"/>
              <w:rPr>
                <w:rFonts w:hint="default"/>
                <w:szCs w:val="20"/>
              </w:rPr>
            </w:pPr>
            <w:r>
              <w:rPr>
                <w:rFonts w:hint="eastAsia" w:asciiTheme="majorEastAsia" w:hAnsiTheme="majorEastAsia" w:eastAsiaTheme="majorEastAsia" w:cstheme="majorEastAsia"/>
                <w:bCs/>
                <w:kern w:val="2"/>
                <w:sz w:val="24"/>
                <w:szCs w:val="24"/>
                <w:highlight w:val="none"/>
                <w:u w:val="none"/>
                <w:lang w:val="en-US" w:eastAsia="zh-CN" w:bidi="ar-SA"/>
              </w:rPr>
              <w:t>办公楼1楼</w:t>
            </w:r>
          </w:p>
        </w:tc>
        <w:tc>
          <w:tcPr>
            <w:tcW w:w="1624" w:type="dxa"/>
            <w:tcBorders>
              <w:top w:val="single" w:color="000000" w:sz="4" w:space="0"/>
              <w:left w:val="single" w:color="000000" w:sz="4" w:space="0"/>
              <w:bottom w:val="single" w:color="000000" w:sz="4" w:space="0"/>
              <w:right w:val="single" w:color="000000" w:sz="4" w:space="0"/>
            </w:tcBorders>
            <w:noWrap w:val="0"/>
            <w:vAlign w:val="center"/>
          </w:tcPr>
          <w:p w14:paraId="38113087">
            <w:pPr>
              <w:keepNext w:val="0"/>
              <w:keepLines w:val="0"/>
              <w:suppressLineNumbers w:val="0"/>
              <w:spacing w:before="0" w:beforeAutospacing="0" w:after="0" w:afterAutospacing="0" w:line="300" w:lineRule="exact"/>
              <w:ind w:left="0" w:right="0"/>
              <w:jc w:val="center"/>
              <w:rPr>
                <w:rFonts w:hint="eastAsia" w:ascii="宋体" w:hAnsi="宋体" w:eastAsia="宋体" w:cs="宋体"/>
                <w:color w:val="000000"/>
                <w:sz w:val="24"/>
                <w:szCs w:val="24"/>
              </w:rPr>
            </w:pPr>
            <w:r>
              <w:rPr>
                <w:rFonts w:hint="eastAsia" w:asciiTheme="majorEastAsia" w:hAnsiTheme="majorEastAsia" w:eastAsiaTheme="majorEastAsia" w:cstheme="majorEastAsia"/>
                <w:bCs/>
                <w:kern w:val="2"/>
                <w:sz w:val="24"/>
                <w:szCs w:val="24"/>
                <w:highlight w:val="none"/>
                <w:u w:val="none"/>
                <w:lang w:val="en-US" w:eastAsia="zh-CN" w:bidi="ar-SA"/>
              </w:rPr>
              <w:t>约382.01㎡</w:t>
            </w:r>
          </w:p>
        </w:tc>
        <w:tc>
          <w:tcPr>
            <w:tcW w:w="1237" w:type="dxa"/>
            <w:vMerge w:val="restart"/>
            <w:tcBorders>
              <w:top w:val="single" w:color="000000" w:sz="4" w:space="0"/>
              <w:left w:val="single" w:color="000000" w:sz="4" w:space="0"/>
              <w:right w:val="single" w:color="auto" w:sz="4" w:space="0"/>
            </w:tcBorders>
            <w:noWrap w:val="0"/>
            <w:vAlign w:val="center"/>
          </w:tcPr>
          <w:p w14:paraId="2445E024">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Theme="majorEastAsia" w:hAnsiTheme="majorEastAsia" w:eastAsiaTheme="majorEastAsia" w:cstheme="majorEastAsia"/>
                <w:bCs/>
                <w:color w:val="auto"/>
                <w:kern w:val="2"/>
                <w:sz w:val="24"/>
                <w:szCs w:val="24"/>
                <w:highlight w:val="none"/>
                <w:u w:val="none"/>
                <w:lang w:val="en-US" w:eastAsia="zh-CN" w:bidi="ar-SA"/>
              </w:rPr>
              <w:t>133200元</w:t>
            </w:r>
          </w:p>
        </w:tc>
        <w:tc>
          <w:tcPr>
            <w:tcW w:w="1172" w:type="dxa"/>
            <w:vMerge w:val="restart"/>
            <w:tcBorders>
              <w:top w:val="single" w:color="000000" w:sz="4" w:space="0"/>
              <w:left w:val="nil"/>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Theme="majorEastAsia" w:hAnsiTheme="majorEastAsia" w:eastAsiaTheme="majorEastAsia" w:cstheme="majorEastAsia"/>
                <w:bCs/>
                <w:kern w:val="2"/>
                <w:sz w:val="24"/>
                <w:szCs w:val="24"/>
                <w:highlight w:val="none"/>
                <w:u w:val="none"/>
                <w:lang w:val="en-US" w:eastAsia="zh-CN" w:bidi="ar-SA"/>
              </w:rPr>
              <w:t>13万元</w:t>
            </w:r>
          </w:p>
        </w:tc>
      </w:tr>
      <w:tr w14:paraId="189D5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758" w:type="dxa"/>
            <w:vMerge w:val="continue"/>
            <w:tcBorders>
              <w:left w:val="single" w:color="auto" w:sz="4" w:space="0"/>
              <w:right w:val="single" w:color="000000" w:sz="4" w:space="0"/>
            </w:tcBorders>
            <w:noWrap w:val="0"/>
            <w:vAlign w:val="center"/>
          </w:tcPr>
          <w:p w14:paraId="5B0F1CB2">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3213" w:type="dxa"/>
            <w:vMerge w:val="continue"/>
            <w:tcBorders>
              <w:left w:val="single" w:color="000000" w:sz="4" w:space="0"/>
              <w:right w:val="single" w:color="000000" w:sz="4" w:space="0"/>
            </w:tcBorders>
            <w:noWrap w:val="0"/>
            <w:vAlign w:val="center"/>
          </w:tcPr>
          <w:p w14:paraId="62655532">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624" w:type="dxa"/>
            <w:tcBorders>
              <w:top w:val="single" w:color="000000" w:sz="4" w:space="0"/>
              <w:left w:val="single" w:color="000000" w:sz="4" w:space="0"/>
              <w:bottom w:val="single" w:color="000000" w:sz="4" w:space="0"/>
              <w:right w:val="single" w:color="000000" w:sz="4" w:space="0"/>
            </w:tcBorders>
            <w:noWrap w:val="0"/>
            <w:vAlign w:val="center"/>
          </w:tcPr>
          <w:p w14:paraId="5D596D33">
            <w:pPr>
              <w:keepNext w:val="0"/>
              <w:keepLines w:val="0"/>
              <w:suppressLineNumbers w:val="0"/>
              <w:spacing w:before="0" w:beforeAutospacing="0" w:after="0" w:afterAutospacing="0" w:line="300" w:lineRule="exact"/>
              <w:ind w:left="0" w:right="0"/>
              <w:jc w:val="center"/>
              <w:rPr>
                <w:rFonts w:hint="default"/>
                <w:szCs w:val="20"/>
              </w:rPr>
            </w:pPr>
            <w:r>
              <w:rPr>
                <w:rFonts w:hint="eastAsia" w:asciiTheme="majorEastAsia" w:hAnsiTheme="majorEastAsia" w:eastAsiaTheme="majorEastAsia" w:cstheme="majorEastAsia"/>
                <w:bCs/>
                <w:kern w:val="2"/>
                <w:sz w:val="24"/>
                <w:szCs w:val="24"/>
                <w:highlight w:val="none"/>
                <w:u w:val="none"/>
                <w:lang w:val="en-US" w:eastAsia="zh-CN" w:bidi="ar-SA"/>
              </w:rPr>
              <w:t>沿</w:t>
            </w:r>
            <w:bookmarkStart w:id="0" w:name="_GoBack"/>
            <w:bookmarkEnd w:id="0"/>
            <w:r>
              <w:rPr>
                <w:rFonts w:hint="eastAsia" w:asciiTheme="majorEastAsia" w:hAnsiTheme="majorEastAsia" w:eastAsiaTheme="majorEastAsia" w:cstheme="majorEastAsia"/>
                <w:bCs/>
                <w:kern w:val="2"/>
                <w:sz w:val="24"/>
                <w:szCs w:val="24"/>
                <w:highlight w:val="none"/>
                <w:u w:val="none"/>
                <w:lang w:val="en-US" w:eastAsia="zh-CN" w:bidi="ar-SA"/>
              </w:rPr>
              <w:t>街店面</w:t>
            </w:r>
          </w:p>
        </w:tc>
        <w:tc>
          <w:tcPr>
            <w:tcW w:w="1624" w:type="dxa"/>
            <w:tcBorders>
              <w:top w:val="single" w:color="000000" w:sz="4" w:space="0"/>
              <w:left w:val="single" w:color="000000" w:sz="4" w:space="0"/>
              <w:bottom w:val="single" w:color="000000" w:sz="4" w:space="0"/>
              <w:right w:val="single" w:color="000000" w:sz="4" w:space="0"/>
            </w:tcBorders>
            <w:noWrap w:val="0"/>
            <w:vAlign w:val="center"/>
          </w:tcPr>
          <w:p w14:paraId="131AE612">
            <w:pPr>
              <w:keepNext w:val="0"/>
              <w:keepLines w:val="0"/>
              <w:suppressLineNumbers w:val="0"/>
              <w:spacing w:before="0" w:beforeAutospacing="0" w:after="0" w:afterAutospacing="0" w:line="300" w:lineRule="exact"/>
              <w:ind w:left="0" w:right="0"/>
              <w:jc w:val="center"/>
              <w:rPr>
                <w:rFonts w:hint="default"/>
                <w:szCs w:val="20"/>
              </w:rPr>
            </w:pPr>
            <w:r>
              <w:rPr>
                <w:rFonts w:hint="eastAsia" w:asciiTheme="majorEastAsia" w:hAnsiTheme="majorEastAsia" w:eastAsiaTheme="majorEastAsia" w:cstheme="majorEastAsia"/>
                <w:bCs/>
                <w:kern w:val="2"/>
                <w:sz w:val="24"/>
                <w:szCs w:val="24"/>
                <w:highlight w:val="none"/>
                <w:u w:val="none"/>
                <w:lang w:val="en-US" w:eastAsia="zh-CN" w:bidi="ar-SA"/>
              </w:rPr>
              <w:t>约73.5㎡</w:t>
            </w:r>
          </w:p>
        </w:tc>
        <w:tc>
          <w:tcPr>
            <w:tcW w:w="1237" w:type="dxa"/>
            <w:vMerge w:val="continue"/>
            <w:tcBorders>
              <w:left w:val="single" w:color="000000" w:sz="4" w:space="0"/>
              <w:right w:val="single" w:color="auto" w:sz="4" w:space="0"/>
            </w:tcBorders>
            <w:noWrap w:val="0"/>
            <w:vAlign w:val="center"/>
          </w:tcPr>
          <w:p w14:paraId="07E2D68C">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172" w:type="dxa"/>
            <w:vMerge w:val="continue"/>
            <w:tcBorders>
              <w:left w:val="nil"/>
              <w:right w:val="single" w:color="auto" w:sz="4" w:space="0"/>
            </w:tcBorders>
            <w:noWrap w:val="0"/>
            <w:vAlign w:val="center"/>
          </w:tcPr>
          <w:p w14:paraId="48FD6A09">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r>
      <w:tr w14:paraId="2B9A7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758" w:type="dxa"/>
            <w:vMerge w:val="continue"/>
            <w:tcBorders>
              <w:left w:val="single" w:color="auto" w:sz="4" w:space="0"/>
              <w:right w:val="single" w:color="000000" w:sz="4" w:space="0"/>
            </w:tcBorders>
            <w:noWrap w:val="0"/>
            <w:vAlign w:val="center"/>
          </w:tcPr>
          <w:p w14:paraId="08A91257">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3213" w:type="dxa"/>
            <w:vMerge w:val="continue"/>
            <w:tcBorders>
              <w:left w:val="single" w:color="000000" w:sz="4" w:space="0"/>
              <w:right w:val="single" w:color="000000" w:sz="4" w:space="0"/>
            </w:tcBorders>
            <w:noWrap w:val="0"/>
            <w:vAlign w:val="center"/>
          </w:tcPr>
          <w:p w14:paraId="31858AC6">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624" w:type="dxa"/>
            <w:tcBorders>
              <w:top w:val="single" w:color="000000" w:sz="4" w:space="0"/>
              <w:left w:val="single" w:color="000000" w:sz="4" w:space="0"/>
              <w:bottom w:val="single" w:color="000000" w:sz="4" w:space="0"/>
              <w:right w:val="single" w:color="000000" w:sz="4" w:space="0"/>
            </w:tcBorders>
            <w:noWrap w:val="0"/>
            <w:vAlign w:val="center"/>
          </w:tcPr>
          <w:p w14:paraId="49300BE4">
            <w:pPr>
              <w:keepNext w:val="0"/>
              <w:keepLines w:val="0"/>
              <w:suppressLineNumbers w:val="0"/>
              <w:spacing w:before="0" w:beforeAutospacing="0" w:after="0" w:afterAutospacing="0" w:line="300" w:lineRule="exact"/>
              <w:ind w:left="0" w:right="0"/>
              <w:jc w:val="center"/>
              <w:rPr>
                <w:rFonts w:hint="default"/>
                <w:szCs w:val="20"/>
              </w:rPr>
            </w:pPr>
            <w:r>
              <w:rPr>
                <w:rFonts w:hint="eastAsia" w:asciiTheme="majorEastAsia" w:hAnsiTheme="majorEastAsia" w:eastAsiaTheme="majorEastAsia" w:cstheme="majorEastAsia"/>
                <w:bCs/>
                <w:kern w:val="2"/>
                <w:sz w:val="24"/>
                <w:szCs w:val="24"/>
                <w:highlight w:val="none"/>
                <w:u w:val="none"/>
                <w:lang w:val="en-US" w:eastAsia="zh-CN" w:bidi="ar-SA"/>
              </w:rPr>
              <w:t>合计</w:t>
            </w:r>
          </w:p>
        </w:tc>
        <w:tc>
          <w:tcPr>
            <w:tcW w:w="1624" w:type="dxa"/>
            <w:tcBorders>
              <w:top w:val="single" w:color="000000" w:sz="4" w:space="0"/>
              <w:left w:val="single" w:color="000000" w:sz="4" w:space="0"/>
              <w:bottom w:val="single" w:color="000000" w:sz="4" w:space="0"/>
              <w:right w:val="single" w:color="000000" w:sz="4" w:space="0"/>
            </w:tcBorders>
            <w:noWrap w:val="0"/>
            <w:vAlign w:val="center"/>
          </w:tcPr>
          <w:p w14:paraId="73146897">
            <w:pPr>
              <w:keepNext w:val="0"/>
              <w:keepLines w:val="0"/>
              <w:suppressLineNumbers w:val="0"/>
              <w:spacing w:before="0" w:beforeAutospacing="0" w:after="0" w:afterAutospacing="0" w:line="300" w:lineRule="exact"/>
              <w:ind w:left="0" w:right="0"/>
              <w:jc w:val="center"/>
              <w:rPr>
                <w:rFonts w:hint="default"/>
                <w:szCs w:val="20"/>
              </w:rPr>
            </w:pPr>
            <w:r>
              <w:rPr>
                <w:rFonts w:hint="eastAsia" w:asciiTheme="majorEastAsia" w:hAnsiTheme="majorEastAsia" w:eastAsiaTheme="majorEastAsia" w:cstheme="majorEastAsia"/>
                <w:bCs/>
                <w:kern w:val="2"/>
                <w:sz w:val="24"/>
                <w:szCs w:val="24"/>
                <w:highlight w:val="none"/>
                <w:u w:val="none"/>
                <w:lang w:val="en-US" w:eastAsia="zh-CN" w:bidi="ar-SA"/>
              </w:rPr>
              <w:t>约455.5㎡</w:t>
            </w:r>
          </w:p>
        </w:tc>
        <w:tc>
          <w:tcPr>
            <w:tcW w:w="1237" w:type="dxa"/>
            <w:vMerge w:val="continue"/>
            <w:tcBorders>
              <w:left w:val="single" w:color="000000" w:sz="4" w:space="0"/>
              <w:right w:val="single" w:color="auto" w:sz="4" w:space="0"/>
            </w:tcBorders>
            <w:noWrap w:val="0"/>
            <w:vAlign w:val="center"/>
          </w:tcPr>
          <w:p w14:paraId="39AF8157">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172" w:type="dxa"/>
            <w:vMerge w:val="continue"/>
            <w:tcBorders>
              <w:left w:val="nil"/>
              <w:right w:val="single" w:color="auto" w:sz="4" w:space="0"/>
            </w:tcBorders>
            <w:noWrap w:val="0"/>
            <w:vAlign w:val="center"/>
          </w:tcPr>
          <w:p w14:paraId="32BC0B06">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r>
      <w:tr w14:paraId="19EB8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58" w:type="dxa"/>
            <w:tcBorders>
              <w:top w:val="single" w:color="000000" w:sz="4" w:space="0"/>
              <w:left w:val="single" w:color="auto" w:sz="4" w:space="0"/>
              <w:right w:val="single" w:color="000000" w:sz="4" w:space="0"/>
            </w:tcBorders>
            <w:noWrap w:val="0"/>
            <w:vAlign w:val="center"/>
          </w:tcPr>
          <w:p w14:paraId="049CCF8E">
            <w:pPr>
              <w:keepNext w:val="0"/>
              <w:keepLines w:val="0"/>
              <w:suppressLineNumbers w:val="0"/>
              <w:spacing w:before="0" w:beforeAutospacing="0" w:after="0" w:afterAutospacing="0" w:line="320" w:lineRule="exact"/>
              <w:ind w:left="0" w:right="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2</w:t>
            </w:r>
          </w:p>
        </w:tc>
        <w:tc>
          <w:tcPr>
            <w:tcW w:w="3213" w:type="dxa"/>
            <w:tcBorders>
              <w:top w:val="single" w:color="000000" w:sz="4" w:space="0"/>
              <w:left w:val="single" w:color="000000" w:sz="4" w:space="0"/>
              <w:right w:val="single" w:color="000000" w:sz="4" w:space="0"/>
            </w:tcBorders>
            <w:noWrap w:val="0"/>
            <w:vAlign w:val="center"/>
          </w:tcPr>
          <w:p w14:paraId="59D68DBA">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Theme="majorEastAsia" w:hAnsiTheme="majorEastAsia" w:eastAsiaTheme="majorEastAsia" w:cstheme="majorEastAsia"/>
                <w:bCs/>
                <w:sz w:val="24"/>
                <w:szCs w:val="24"/>
                <w:highlight w:val="none"/>
                <w:lang w:val="en-US" w:eastAsia="zh-CN"/>
              </w:rPr>
              <w:t>温州市龙湾区蒲州街道括苍西路82号江前村办公楼2楼五年租赁权</w:t>
            </w:r>
          </w:p>
        </w:tc>
        <w:tc>
          <w:tcPr>
            <w:tcW w:w="3248" w:type="dxa"/>
            <w:gridSpan w:val="2"/>
            <w:tcBorders>
              <w:top w:val="single" w:color="000000" w:sz="4" w:space="0"/>
              <w:left w:val="single" w:color="000000" w:sz="4" w:space="0"/>
              <w:bottom w:val="single" w:color="000000" w:sz="4" w:space="0"/>
              <w:right w:val="single" w:color="000000" w:sz="4" w:space="0"/>
            </w:tcBorders>
            <w:noWrap w:val="0"/>
            <w:vAlign w:val="center"/>
          </w:tcPr>
          <w:p w14:paraId="6D47F4B2">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rPr>
              <w:t>约294.58㎡</w:t>
            </w:r>
          </w:p>
        </w:tc>
        <w:tc>
          <w:tcPr>
            <w:tcW w:w="1237" w:type="dxa"/>
            <w:tcBorders>
              <w:top w:val="single" w:color="000000" w:sz="4" w:space="0"/>
              <w:left w:val="single" w:color="000000" w:sz="4" w:space="0"/>
              <w:right w:val="single" w:color="auto" w:sz="4" w:space="0"/>
            </w:tcBorders>
            <w:noWrap w:val="0"/>
            <w:vAlign w:val="center"/>
          </w:tcPr>
          <w:p w14:paraId="4CAB5100">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Theme="majorEastAsia" w:hAnsiTheme="majorEastAsia" w:eastAsiaTheme="majorEastAsia" w:cstheme="majorEastAsia"/>
                <w:bCs/>
                <w:kern w:val="2"/>
                <w:sz w:val="24"/>
                <w:szCs w:val="24"/>
                <w:highlight w:val="none"/>
                <w:u w:val="none"/>
                <w:lang w:val="en-US" w:eastAsia="zh-CN" w:bidi="ar-SA"/>
              </w:rPr>
              <w:t>54000元</w:t>
            </w:r>
          </w:p>
        </w:tc>
        <w:tc>
          <w:tcPr>
            <w:tcW w:w="1172" w:type="dxa"/>
            <w:tcBorders>
              <w:top w:val="single" w:color="000000" w:sz="4" w:space="0"/>
              <w:left w:val="nil"/>
              <w:right w:val="single" w:color="auto" w:sz="4" w:space="0"/>
            </w:tcBorders>
            <w:noWrap w:val="0"/>
            <w:vAlign w:val="center"/>
          </w:tcPr>
          <w:p w14:paraId="4F93540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Theme="majorEastAsia" w:hAnsiTheme="majorEastAsia" w:eastAsiaTheme="majorEastAsia" w:cstheme="majorEastAsia"/>
                <w:bCs/>
                <w:kern w:val="2"/>
                <w:sz w:val="24"/>
                <w:szCs w:val="24"/>
                <w:highlight w:val="none"/>
                <w:u w:val="none"/>
                <w:lang w:val="en-US" w:eastAsia="zh-CN" w:bidi="ar-SA"/>
              </w:rPr>
              <w:t>5万元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5" w:hRule="atLeast"/>
          <w:jc w:val="center"/>
        </w:trPr>
        <w:tc>
          <w:tcPr>
            <w:tcW w:w="9628" w:type="dxa"/>
            <w:gridSpan w:val="6"/>
            <w:tcBorders>
              <w:top w:val="single" w:color="000000" w:sz="4" w:space="0"/>
              <w:left w:val="single" w:color="auto" w:sz="4" w:space="0"/>
              <w:bottom w:val="single" w:color="000000" w:sz="4" w:space="0"/>
              <w:right w:val="single" w:color="auto" w:sz="4" w:space="0"/>
            </w:tcBorders>
            <w:noWrap w:val="0"/>
            <w:vAlign w:val="center"/>
          </w:tcPr>
          <w:p w14:paraId="583EA3E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w:t>
            </w: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，租金（不含税）一年一付，先付后用。</w:t>
            </w:r>
          </w:p>
          <w:p w14:paraId="52116AD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2.</w:t>
            </w:r>
            <w:r>
              <w:rPr>
                <w:rFonts w:hint="eastAsia" w:ascii="宋体" w:hAnsi="宋体" w:cs="宋体"/>
                <w:bCs/>
                <w:kern w:val="2"/>
                <w:sz w:val="24"/>
                <w:szCs w:val="24"/>
                <w:highlight w:val="none"/>
                <w:lang w:val="en-US" w:eastAsia="zh-CN" w:bidi="ar"/>
              </w:rPr>
              <w:t>装修期2个月，不计租金及租期</w:t>
            </w:r>
            <w:r>
              <w:rPr>
                <w:rFonts w:hint="eastAsia" w:ascii="宋体" w:hAnsi="宋体" w:eastAsia="宋体" w:cs="宋体"/>
                <w:bCs/>
                <w:kern w:val="2"/>
                <w:sz w:val="24"/>
                <w:szCs w:val="24"/>
                <w:highlight w:val="none"/>
                <w:lang w:val="en-US" w:eastAsia="zh-CN" w:bidi="ar"/>
              </w:rPr>
              <w:t>。</w:t>
            </w:r>
          </w:p>
          <w:p w14:paraId="26832DC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3.</w:t>
            </w:r>
            <w:r>
              <w:rPr>
                <w:rFonts w:hint="eastAsia" w:ascii="宋体" w:hAnsi="宋体" w:cs="宋体"/>
                <w:bCs/>
                <w:kern w:val="2"/>
                <w:sz w:val="24"/>
                <w:szCs w:val="24"/>
                <w:highlight w:val="none"/>
                <w:lang w:val="en-US" w:eastAsia="zh-CN" w:bidi="ar"/>
              </w:rPr>
              <w:t>经营业态：政府允许的行业，禁止有噪音、有污染的行业入驻。</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453390</wp:posOffset>
            </wp:positionH>
            <wp:positionV relativeFrom="paragraph">
              <wp:posOffset>-3970020</wp:posOffset>
            </wp:positionV>
            <wp:extent cx="5271770" cy="5833110"/>
            <wp:effectExtent l="0" t="0" r="5080" b="15240"/>
            <wp:wrapNone/>
            <wp:docPr id="2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江前村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w:t>
      </w:r>
      <w:r>
        <w:rPr>
          <w:rFonts w:hint="eastAsia" w:ascii="宋体" w:hAnsi="宋体" w:eastAsia="宋体" w:cs="Times New Roman"/>
          <w:color w:val="auto"/>
          <w:sz w:val="24"/>
          <w:szCs w:val="24"/>
          <w:highlight w:val="none"/>
          <w:u w:val="none"/>
          <w:lang w:val="en-US" w:eastAsia="zh-CN"/>
        </w:rPr>
        <w:t>首年租金成交价的10%（取整数）</w:t>
      </w:r>
      <w:r>
        <w:rPr>
          <w:rFonts w:hint="eastAsia" w:ascii="宋体" w:hAnsi="宋体" w:cs="Times New Roman"/>
          <w:color w:val="auto"/>
          <w:sz w:val="24"/>
          <w:szCs w:val="24"/>
          <w:highlight w:val="none"/>
          <w:u w:val="none"/>
          <w:lang w:val="en-US" w:eastAsia="zh-CN"/>
        </w:rPr>
        <w:t>/标的</w:t>
      </w:r>
      <w:r>
        <w:rPr>
          <w:rFonts w:hint="eastAsia" w:ascii="宋体" w:hAnsi="宋体" w:eastAsia="宋体" w:cs="Times New Roman"/>
          <w:color w:val="auto"/>
          <w:sz w:val="24"/>
          <w:szCs w:val="24"/>
          <w:highlight w:val="none"/>
          <w:u w:val="none"/>
          <w:lang w:val="en-US" w:eastAsia="zh-CN"/>
        </w:rPr>
        <w:t>。</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27</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334CA4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3"/>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温州市龙湾区蒲州街道江前村集体经济组织</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453390</wp:posOffset>
            </wp:positionH>
            <wp:positionV relativeFrom="paragraph">
              <wp:posOffset>-779145</wp:posOffset>
            </wp:positionV>
            <wp:extent cx="5271770" cy="5833110"/>
            <wp:effectExtent l="0" t="0" r="5080" b="15240"/>
            <wp:wrapNone/>
            <wp:docPr id="2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2026年5月21日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F11191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sz w:val="24"/>
          <w:szCs w:val="24"/>
          <w:highlight w:val="none"/>
          <w:lang w:eastAsia="zh-CN"/>
        </w:rPr>
        <w:t>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2026年5月21日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3600;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2169AE66">
      <w:pPr>
        <w:spacing w:line="360" w:lineRule="auto"/>
        <w:jc w:val="center"/>
        <w:rPr>
          <w:rFonts w:hint="eastAsia"/>
          <w:b/>
          <w:color w:val="auto"/>
          <w:sz w:val="36"/>
          <w:szCs w:val="36"/>
          <w:highlight w:val="none"/>
        </w:rPr>
      </w:pPr>
    </w:p>
    <w:p w14:paraId="2532AB54">
      <w:pPr>
        <w:spacing w:line="360" w:lineRule="auto"/>
        <w:jc w:val="center"/>
        <w:rPr>
          <w:rFonts w:hint="eastAsia"/>
          <w:b/>
          <w:color w:val="auto"/>
          <w:sz w:val="36"/>
          <w:szCs w:val="36"/>
          <w:highlight w:val="none"/>
        </w:rPr>
      </w:pPr>
    </w:p>
    <w:p w14:paraId="259DC0F5">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4624"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4624;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2026年5月28日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温州市龙湾区蒲州街道江前村集体经济组织</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8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3213"/>
        <w:gridCol w:w="1624"/>
        <w:gridCol w:w="1624"/>
        <w:gridCol w:w="1237"/>
        <w:gridCol w:w="1172"/>
      </w:tblGrid>
      <w:tr w14:paraId="1AA19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4A0F3A8C">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213" w:type="dxa"/>
            <w:tcBorders>
              <w:top w:val="single" w:color="000000" w:sz="4" w:space="0"/>
              <w:left w:val="single" w:color="000000" w:sz="4" w:space="0"/>
              <w:bottom w:val="single" w:color="000000" w:sz="4" w:space="0"/>
              <w:right w:val="single" w:color="000000" w:sz="4" w:space="0"/>
            </w:tcBorders>
            <w:noWrap w:val="0"/>
            <w:vAlign w:val="center"/>
          </w:tcPr>
          <w:p w14:paraId="61AD4A9C">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248" w:type="dxa"/>
            <w:gridSpan w:val="2"/>
            <w:tcBorders>
              <w:top w:val="single" w:color="000000" w:sz="4" w:space="0"/>
              <w:left w:val="single" w:color="000000" w:sz="4" w:space="0"/>
              <w:bottom w:val="single" w:color="000000" w:sz="4" w:space="0"/>
              <w:right w:val="single" w:color="000000" w:sz="4" w:space="0"/>
            </w:tcBorders>
            <w:noWrap w:val="0"/>
            <w:vAlign w:val="center"/>
          </w:tcPr>
          <w:p w14:paraId="0D09A0C1">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7" w:type="dxa"/>
            <w:tcBorders>
              <w:top w:val="single" w:color="000000" w:sz="4" w:space="0"/>
              <w:left w:val="single" w:color="000000" w:sz="4" w:space="0"/>
              <w:bottom w:val="single" w:color="000000" w:sz="4" w:space="0"/>
              <w:right w:val="single" w:color="auto" w:sz="4" w:space="0"/>
            </w:tcBorders>
            <w:noWrap w:val="0"/>
            <w:vAlign w:val="center"/>
          </w:tcPr>
          <w:p w14:paraId="644EA605">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06577E68">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37EDDC1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D5A9C2E">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5DB95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3FCDDFE6">
            <w:pPr>
              <w:keepNext w:val="0"/>
              <w:keepLines w:val="0"/>
              <w:suppressLineNumbers w:val="0"/>
              <w:spacing w:before="0" w:beforeAutospacing="0" w:after="0" w:afterAutospacing="0" w:line="320" w:lineRule="exact"/>
              <w:ind w:left="0" w:leftChars="0" w:right="0" w:rightChars="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1</w:t>
            </w:r>
          </w:p>
        </w:tc>
        <w:tc>
          <w:tcPr>
            <w:tcW w:w="3213" w:type="dxa"/>
            <w:vMerge w:val="restart"/>
            <w:tcBorders>
              <w:top w:val="single" w:color="000000" w:sz="4" w:space="0"/>
              <w:left w:val="single" w:color="000000" w:sz="4" w:space="0"/>
              <w:right w:val="single" w:color="000000" w:sz="4" w:space="0"/>
            </w:tcBorders>
            <w:noWrap w:val="0"/>
            <w:vAlign w:val="center"/>
          </w:tcPr>
          <w:p w14:paraId="0A370F17">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 w:val="0"/>
                <w:bCs/>
                <w:kern w:val="2"/>
                <w:sz w:val="24"/>
                <w:szCs w:val="24"/>
                <w:highlight w:val="none"/>
                <w:lang w:val="en-US" w:eastAsia="zh-CN"/>
              </w:rPr>
            </w:pPr>
            <w:r>
              <w:rPr>
                <w:rFonts w:hint="eastAsia" w:asciiTheme="majorEastAsia" w:hAnsiTheme="majorEastAsia" w:eastAsiaTheme="majorEastAsia" w:cstheme="majorEastAsia"/>
                <w:bCs/>
                <w:sz w:val="24"/>
                <w:szCs w:val="24"/>
                <w:highlight w:val="none"/>
                <w:lang w:val="en-US" w:eastAsia="zh-CN"/>
              </w:rPr>
              <w:t>温州市龙湾区蒲州街道括苍西路82号江前村办公楼1楼及沿街店面五年租赁权</w:t>
            </w:r>
          </w:p>
        </w:tc>
        <w:tc>
          <w:tcPr>
            <w:tcW w:w="1624" w:type="dxa"/>
            <w:tcBorders>
              <w:top w:val="single" w:color="000000" w:sz="4" w:space="0"/>
              <w:left w:val="single" w:color="000000" w:sz="4" w:space="0"/>
              <w:bottom w:val="single" w:color="000000" w:sz="4" w:space="0"/>
              <w:right w:val="single" w:color="000000" w:sz="4" w:space="0"/>
            </w:tcBorders>
            <w:noWrap w:val="0"/>
            <w:vAlign w:val="center"/>
          </w:tcPr>
          <w:p w14:paraId="12A442F0">
            <w:pPr>
              <w:keepNext w:val="0"/>
              <w:keepLines w:val="0"/>
              <w:suppressLineNumbers w:val="0"/>
              <w:spacing w:before="0" w:beforeAutospacing="0" w:after="0" w:afterAutospacing="0" w:line="300" w:lineRule="exact"/>
              <w:ind w:left="0" w:leftChars="0" w:right="0" w:rightChars="0"/>
              <w:jc w:val="center"/>
              <w:rPr>
                <w:rFonts w:hint="default"/>
                <w:szCs w:val="20"/>
              </w:rPr>
            </w:pPr>
            <w:r>
              <w:rPr>
                <w:rFonts w:hint="eastAsia" w:asciiTheme="majorEastAsia" w:hAnsiTheme="majorEastAsia" w:eastAsiaTheme="majorEastAsia" w:cstheme="majorEastAsia"/>
                <w:bCs/>
                <w:kern w:val="2"/>
                <w:sz w:val="24"/>
                <w:szCs w:val="24"/>
                <w:highlight w:val="none"/>
                <w:u w:val="none"/>
                <w:lang w:val="en-US" w:eastAsia="zh-CN" w:bidi="ar-SA"/>
              </w:rPr>
              <w:t>办公楼1楼</w:t>
            </w:r>
          </w:p>
        </w:tc>
        <w:tc>
          <w:tcPr>
            <w:tcW w:w="1624" w:type="dxa"/>
            <w:tcBorders>
              <w:top w:val="single" w:color="000000" w:sz="4" w:space="0"/>
              <w:left w:val="single" w:color="000000" w:sz="4" w:space="0"/>
              <w:bottom w:val="single" w:color="000000" w:sz="4" w:space="0"/>
              <w:right w:val="single" w:color="000000" w:sz="4" w:space="0"/>
            </w:tcBorders>
            <w:noWrap w:val="0"/>
            <w:vAlign w:val="center"/>
          </w:tcPr>
          <w:p w14:paraId="5F60D16F">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color w:val="000000"/>
                <w:sz w:val="24"/>
                <w:szCs w:val="24"/>
              </w:rPr>
            </w:pPr>
            <w:r>
              <w:rPr>
                <w:rFonts w:hint="eastAsia" w:asciiTheme="majorEastAsia" w:hAnsiTheme="majorEastAsia" w:eastAsiaTheme="majorEastAsia" w:cstheme="majorEastAsia"/>
                <w:bCs/>
                <w:kern w:val="2"/>
                <w:sz w:val="24"/>
                <w:szCs w:val="24"/>
                <w:highlight w:val="none"/>
                <w:u w:val="none"/>
                <w:lang w:val="en-US" w:eastAsia="zh-CN" w:bidi="ar-SA"/>
              </w:rPr>
              <w:t>约382.01㎡</w:t>
            </w:r>
          </w:p>
        </w:tc>
        <w:tc>
          <w:tcPr>
            <w:tcW w:w="1237" w:type="dxa"/>
            <w:vMerge w:val="restart"/>
            <w:tcBorders>
              <w:top w:val="single" w:color="000000" w:sz="4" w:space="0"/>
              <w:left w:val="single" w:color="000000" w:sz="4" w:space="0"/>
              <w:right w:val="single" w:color="auto" w:sz="4" w:space="0"/>
            </w:tcBorders>
            <w:noWrap w:val="0"/>
            <w:vAlign w:val="center"/>
          </w:tcPr>
          <w:p w14:paraId="49AB43B6">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 w:val="0"/>
                <w:bCs/>
                <w:kern w:val="2"/>
                <w:sz w:val="24"/>
                <w:szCs w:val="24"/>
                <w:highlight w:val="none"/>
                <w:lang w:val="en-US" w:eastAsia="zh-CN"/>
              </w:rPr>
            </w:pPr>
            <w:r>
              <w:rPr>
                <w:rFonts w:hint="eastAsia" w:asciiTheme="majorEastAsia" w:hAnsiTheme="majorEastAsia" w:eastAsiaTheme="majorEastAsia" w:cstheme="majorEastAsia"/>
                <w:bCs/>
                <w:color w:val="auto"/>
                <w:kern w:val="2"/>
                <w:sz w:val="24"/>
                <w:szCs w:val="24"/>
                <w:highlight w:val="none"/>
                <w:u w:val="none"/>
                <w:lang w:val="en-US" w:eastAsia="zh-CN" w:bidi="ar-SA"/>
              </w:rPr>
              <w:t>133200元</w:t>
            </w:r>
          </w:p>
        </w:tc>
        <w:tc>
          <w:tcPr>
            <w:tcW w:w="1172" w:type="dxa"/>
            <w:vMerge w:val="restart"/>
            <w:tcBorders>
              <w:top w:val="single" w:color="000000" w:sz="4" w:space="0"/>
              <w:left w:val="nil"/>
              <w:right w:val="single" w:color="auto" w:sz="4" w:space="0"/>
            </w:tcBorders>
            <w:noWrap w:val="0"/>
            <w:vAlign w:val="center"/>
          </w:tcPr>
          <w:p w14:paraId="60B31AFE">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Cs/>
                <w:color w:val="auto"/>
                <w:kern w:val="2"/>
                <w:sz w:val="24"/>
                <w:szCs w:val="24"/>
                <w:highlight w:val="none"/>
                <w:u w:val="none"/>
                <w:lang w:val="en-US" w:eastAsia="zh-CN" w:bidi="ar-SA"/>
              </w:rPr>
            </w:pPr>
            <w:r>
              <w:rPr>
                <w:rFonts w:hint="eastAsia" w:asciiTheme="majorEastAsia" w:hAnsiTheme="majorEastAsia" w:eastAsiaTheme="majorEastAsia" w:cstheme="majorEastAsia"/>
                <w:bCs/>
                <w:kern w:val="2"/>
                <w:sz w:val="24"/>
                <w:szCs w:val="24"/>
                <w:highlight w:val="none"/>
                <w:u w:val="none"/>
                <w:lang w:val="en-US" w:eastAsia="zh-CN" w:bidi="ar-SA"/>
              </w:rPr>
              <w:t>13万元</w:t>
            </w:r>
          </w:p>
        </w:tc>
      </w:tr>
      <w:tr w14:paraId="5881E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758" w:type="dxa"/>
            <w:vMerge w:val="continue"/>
            <w:tcBorders>
              <w:left w:val="single" w:color="auto" w:sz="4" w:space="0"/>
              <w:right w:val="single" w:color="000000" w:sz="4" w:space="0"/>
            </w:tcBorders>
            <w:noWrap w:val="0"/>
            <w:vAlign w:val="center"/>
          </w:tcPr>
          <w:p w14:paraId="66C2571F">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3213" w:type="dxa"/>
            <w:vMerge w:val="continue"/>
            <w:tcBorders>
              <w:left w:val="single" w:color="000000" w:sz="4" w:space="0"/>
              <w:right w:val="single" w:color="000000" w:sz="4" w:space="0"/>
            </w:tcBorders>
            <w:noWrap w:val="0"/>
            <w:vAlign w:val="center"/>
          </w:tcPr>
          <w:p w14:paraId="7EE437FD">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624" w:type="dxa"/>
            <w:tcBorders>
              <w:top w:val="single" w:color="000000" w:sz="4" w:space="0"/>
              <w:left w:val="single" w:color="000000" w:sz="4" w:space="0"/>
              <w:bottom w:val="single" w:color="000000" w:sz="4" w:space="0"/>
              <w:right w:val="single" w:color="000000" w:sz="4" w:space="0"/>
            </w:tcBorders>
            <w:noWrap w:val="0"/>
            <w:vAlign w:val="center"/>
          </w:tcPr>
          <w:p w14:paraId="4C15DAC0">
            <w:pPr>
              <w:keepNext w:val="0"/>
              <w:keepLines w:val="0"/>
              <w:suppressLineNumbers w:val="0"/>
              <w:spacing w:before="0" w:beforeAutospacing="0" w:after="0" w:afterAutospacing="0" w:line="300" w:lineRule="exact"/>
              <w:ind w:left="0" w:leftChars="0" w:right="0" w:rightChars="0"/>
              <w:jc w:val="center"/>
              <w:rPr>
                <w:rFonts w:hint="default"/>
                <w:szCs w:val="20"/>
              </w:rPr>
            </w:pPr>
            <w:r>
              <w:rPr>
                <w:rFonts w:hint="eastAsia" w:asciiTheme="majorEastAsia" w:hAnsiTheme="majorEastAsia" w:eastAsiaTheme="majorEastAsia" w:cstheme="majorEastAsia"/>
                <w:bCs/>
                <w:kern w:val="2"/>
                <w:sz w:val="24"/>
                <w:szCs w:val="24"/>
                <w:highlight w:val="none"/>
                <w:u w:val="none"/>
                <w:lang w:val="en-US" w:eastAsia="zh-CN" w:bidi="ar-SA"/>
              </w:rPr>
              <w:t>沿街店面</w:t>
            </w:r>
          </w:p>
        </w:tc>
        <w:tc>
          <w:tcPr>
            <w:tcW w:w="1624" w:type="dxa"/>
            <w:tcBorders>
              <w:top w:val="single" w:color="000000" w:sz="4" w:space="0"/>
              <w:left w:val="single" w:color="000000" w:sz="4" w:space="0"/>
              <w:bottom w:val="single" w:color="000000" w:sz="4" w:space="0"/>
              <w:right w:val="single" w:color="000000" w:sz="4" w:space="0"/>
            </w:tcBorders>
            <w:noWrap w:val="0"/>
            <w:vAlign w:val="center"/>
          </w:tcPr>
          <w:p w14:paraId="0A09AC9E">
            <w:pPr>
              <w:keepNext w:val="0"/>
              <w:keepLines w:val="0"/>
              <w:suppressLineNumbers w:val="0"/>
              <w:spacing w:before="0" w:beforeAutospacing="0" w:after="0" w:afterAutospacing="0" w:line="300" w:lineRule="exact"/>
              <w:ind w:left="0" w:leftChars="0" w:right="0" w:rightChars="0"/>
              <w:jc w:val="center"/>
              <w:rPr>
                <w:rFonts w:hint="default"/>
                <w:szCs w:val="20"/>
              </w:rPr>
            </w:pPr>
            <w:r>
              <w:rPr>
                <w:rFonts w:hint="eastAsia" w:asciiTheme="majorEastAsia" w:hAnsiTheme="majorEastAsia" w:eastAsiaTheme="majorEastAsia" w:cstheme="majorEastAsia"/>
                <w:bCs/>
                <w:kern w:val="2"/>
                <w:sz w:val="24"/>
                <w:szCs w:val="24"/>
                <w:highlight w:val="none"/>
                <w:u w:val="none"/>
                <w:lang w:val="en-US" w:eastAsia="zh-CN" w:bidi="ar-SA"/>
              </w:rPr>
              <w:t>约73.5㎡</w:t>
            </w:r>
          </w:p>
        </w:tc>
        <w:tc>
          <w:tcPr>
            <w:tcW w:w="1237" w:type="dxa"/>
            <w:vMerge w:val="continue"/>
            <w:tcBorders>
              <w:left w:val="single" w:color="000000" w:sz="4" w:space="0"/>
              <w:right w:val="single" w:color="auto" w:sz="4" w:space="0"/>
            </w:tcBorders>
            <w:noWrap w:val="0"/>
            <w:vAlign w:val="center"/>
          </w:tcPr>
          <w:p w14:paraId="6BA83F10">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172" w:type="dxa"/>
            <w:vMerge w:val="continue"/>
            <w:tcBorders>
              <w:left w:val="nil"/>
              <w:right w:val="single" w:color="auto" w:sz="4" w:space="0"/>
            </w:tcBorders>
            <w:noWrap w:val="0"/>
            <w:vAlign w:val="center"/>
          </w:tcPr>
          <w:p w14:paraId="7CFBF313">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r>
      <w:tr w14:paraId="27FD0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758" w:type="dxa"/>
            <w:vMerge w:val="continue"/>
            <w:tcBorders>
              <w:left w:val="single" w:color="auto" w:sz="4" w:space="0"/>
              <w:right w:val="single" w:color="000000" w:sz="4" w:space="0"/>
            </w:tcBorders>
            <w:noWrap w:val="0"/>
            <w:vAlign w:val="center"/>
          </w:tcPr>
          <w:p w14:paraId="7A2EC37E">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3213" w:type="dxa"/>
            <w:vMerge w:val="continue"/>
            <w:tcBorders>
              <w:left w:val="single" w:color="000000" w:sz="4" w:space="0"/>
              <w:right w:val="single" w:color="000000" w:sz="4" w:space="0"/>
            </w:tcBorders>
            <w:noWrap w:val="0"/>
            <w:vAlign w:val="center"/>
          </w:tcPr>
          <w:p w14:paraId="2FF7D853">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624" w:type="dxa"/>
            <w:tcBorders>
              <w:top w:val="single" w:color="000000" w:sz="4" w:space="0"/>
              <w:left w:val="single" w:color="000000" w:sz="4" w:space="0"/>
              <w:bottom w:val="single" w:color="000000" w:sz="4" w:space="0"/>
              <w:right w:val="single" w:color="000000" w:sz="4" w:space="0"/>
            </w:tcBorders>
            <w:noWrap w:val="0"/>
            <w:vAlign w:val="center"/>
          </w:tcPr>
          <w:p w14:paraId="20CFC1A1">
            <w:pPr>
              <w:keepNext w:val="0"/>
              <w:keepLines w:val="0"/>
              <w:suppressLineNumbers w:val="0"/>
              <w:spacing w:before="0" w:beforeAutospacing="0" w:after="0" w:afterAutospacing="0" w:line="300" w:lineRule="exact"/>
              <w:ind w:left="0" w:leftChars="0" w:right="0" w:rightChars="0"/>
              <w:jc w:val="center"/>
              <w:rPr>
                <w:rFonts w:hint="default"/>
                <w:szCs w:val="20"/>
              </w:rPr>
            </w:pPr>
            <w:r>
              <w:rPr>
                <w:rFonts w:hint="eastAsia" w:asciiTheme="majorEastAsia" w:hAnsiTheme="majorEastAsia" w:eastAsiaTheme="majorEastAsia" w:cstheme="majorEastAsia"/>
                <w:bCs/>
                <w:kern w:val="2"/>
                <w:sz w:val="24"/>
                <w:szCs w:val="24"/>
                <w:highlight w:val="none"/>
                <w:u w:val="none"/>
                <w:lang w:val="en-US" w:eastAsia="zh-CN" w:bidi="ar-SA"/>
              </w:rPr>
              <w:t>合计</w:t>
            </w:r>
          </w:p>
        </w:tc>
        <w:tc>
          <w:tcPr>
            <w:tcW w:w="1624" w:type="dxa"/>
            <w:tcBorders>
              <w:top w:val="single" w:color="000000" w:sz="4" w:space="0"/>
              <w:left w:val="single" w:color="000000" w:sz="4" w:space="0"/>
              <w:bottom w:val="single" w:color="000000" w:sz="4" w:space="0"/>
              <w:right w:val="single" w:color="000000" w:sz="4" w:space="0"/>
            </w:tcBorders>
            <w:noWrap w:val="0"/>
            <w:vAlign w:val="center"/>
          </w:tcPr>
          <w:p w14:paraId="41902F84">
            <w:pPr>
              <w:keepNext w:val="0"/>
              <w:keepLines w:val="0"/>
              <w:suppressLineNumbers w:val="0"/>
              <w:spacing w:before="0" w:beforeAutospacing="0" w:after="0" w:afterAutospacing="0" w:line="300" w:lineRule="exact"/>
              <w:ind w:left="0" w:leftChars="0" w:right="0" w:rightChars="0"/>
              <w:jc w:val="center"/>
              <w:rPr>
                <w:rFonts w:hint="default"/>
                <w:szCs w:val="20"/>
              </w:rPr>
            </w:pPr>
            <w:r>
              <w:rPr>
                <w:rFonts w:hint="eastAsia" w:asciiTheme="majorEastAsia" w:hAnsiTheme="majorEastAsia" w:eastAsiaTheme="majorEastAsia" w:cstheme="majorEastAsia"/>
                <w:bCs/>
                <w:kern w:val="2"/>
                <w:sz w:val="24"/>
                <w:szCs w:val="24"/>
                <w:highlight w:val="none"/>
                <w:u w:val="none"/>
                <w:lang w:val="en-US" w:eastAsia="zh-CN" w:bidi="ar-SA"/>
              </w:rPr>
              <w:t>约455.5㎡</w:t>
            </w:r>
          </w:p>
        </w:tc>
        <w:tc>
          <w:tcPr>
            <w:tcW w:w="1237" w:type="dxa"/>
            <w:vMerge w:val="continue"/>
            <w:tcBorders>
              <w:left w:val="single" w:color="000000" w:sz="4" w:space="0"/>
              <w:right w:val="single" w:color="auto" w:sz="4" w:space="0"/>
            </w:tcBorders>
            <w:noWrap w:val="0"/>
            <w:vAlign w:val="center"/>
          </w:tcPr>
          <w:p w14:paraId="555BF7ED">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c>
          <w:tcPr>
            <w:tcW w:w="1172" w:type="dxa"/>
            <w:vMerge w:val="continue"/>
            <w:tcBorders>
              <w:left w:val="nil"/>
              <w:right w:val="single" w:color="auto" w:sz="4" w:space="0"/>
            </w:tcBorders>
            <w:noWrap w:val="0"/>
            <w:vAlign w:val="center"/>
          </w:tcPr>
          <w:p w14:paraId="7B8F8BDC">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default"/>
                <w:szCs w:val="20"/>
              </w:rPr>
            </w:pPr>
          </w:p>
        </w:tc>
      </w:tr>
      <w:tr w14:paraId="0DAC5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58" w:type="dxa"/>
            <w:tcBorders>
              <w:top w:val="single" w:color="000000" w:sz="4" w:space="0"/>
              <w:left w:val="single" w:color="auto" w:sz="4" w:space="0"/>
              <w:right w:val="single" w:color="000000" w:sz="4" w:space="0"/>
            </w:tcBorders>
            <w:noWrap w:val="0"/>
            <w:vAlign w:val="center"/>
          </w:tcPr>
          <w:p w14:paraId="6B12BD28">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2</w:t>
            </w:r>
          </w:p>
        </w:tc>
        <w:tc>
          <w:tcPr>
            <w:tcW w:w="3213" w:type="dxa"/>
            <w:tcBorders>
              <w:top w:val="single" w:color="000000" w:sz="4" w:space="0"/>
              <w:left w:val="single" w:color="000000" w:sz="4" w:space="0"/>
              <w:right w:val="single" w:color="000000" w:sz="4" w:space="0"/>
            </w:tcBorders>
            <w:noWrap w:val="0"/>
            <w:vAlign w:val="center"/>
          </w:tcPr>
          <w:p w14:paraId="5167951B">
            <w:pPr>
              <w:keepNext w:val="0"/>
              <w:keepLines w:val="0"/>
              <w:suppressLineNumbers w:val="0"/>
              <w:spacing w:before="0" w:beforeAutospacing="0" w:after="0" w:afterAutospacing="0" w:line="300" w:lineRule="exact"/>
              <w:ind w:left="0" w:leftChars="0" w:right="0" w:rightChars="0"/>
              <w:jc w:val="center"/>
              <w:rPr>
                <w:rFonts w:hint="eastAsia" w:ascii="宋体" w:hAnsi="宋体" w:cs="宋体"/>
                <w:bCs/>
                <w:kern w:val="2"/>
                <w:sz w:val="24"/>
                <w:szCs w:val="24"/>
                <w:highlight w:val="none"/>
                <w:u w:val="none"/>
                <w:lang w:val="en-US" w:eastAsia="zh-CN" w:bidi="ar-SA"/>
              </w:rPr>
            </w:pPr>
            <w:r>
              <w:rPr>
                <w:rFonts w:hint="eastAsia" w:asciiTheme="majorEastAsia" w:hAnsiTheme="majorEastAsia" w:eastAsiaTheme="majorEastAsia" w:cstheme="majorEastAsia"/>
                <w:bCs/>
                <w:sz w:val="24"/>
                <w:szCs w:val="24"/>
                <w:highlight w:val="none"/>
                <w:lang w:val="en-US" w:eastAsia="zh-CN"/>
              </w:rPr>
              <w:t>温州市龙湾区蒲州街道括苍西路82号江前村办公楼2楼五年租赁权</w:t>
            </w:r>
          </w:p>
        </w:tc>
        <w:tc>
          <w:tcPr>
            <w:tcW w:w="3248" w:type="dxa"/>
            <w:gridSpan w:val="2"/>
            <w:tcBorders>
              <w:top w:val="single" w:color="000000" w:sz="4" w:space="0"/>
              <w:left w:val="single" w:color="000000" w:sz="4" w:space="0"/>
              <w:bottom w:val="single" w:color="000000" w:sz="4" w:space="0"/>
              <w:right w:val="single" w:color="000000" w:sz="4" w:space="0"/>
            </w:tcBorders>
            <w:noWrap w:val="0"/>
            <w:vAlign w:val="center"/>
          </w:tcPr>
          <w:p w14:paraId="2399EE56">
            <w:pPr>
              <w:pStyle w:val="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color w:val="000000"/>
                <w:sz w:val="24"/>
                <w:szCs w:val="24"/>
              </w:rPr>
              <w:t>约294.58㎡</w:t>
            </w:r>
          </w:p>
        </w:tc>
        <w:tc>
          <w:tcPr>
            <w:tcW w:w="1237" w:type="dxa"/>
            <w:tcBorders>
              <w:top w:val="single" w:color="000000" w:sz="4" w:space="0"/>
              <w:left w:val="single" w:color="000000" w:sz="4" w:space="0"/>
              <w:right w:val="single" w:color="auto" w:sz="4" w:space="0"/>
            </w:tcBorders>
            <w:noWrap w:val="0"/>
            <w:vAlign w:val="center"/>
          </w:tcPr>
          <w:p w14:paraId="1B553D8C">
            <w:pPr>
              <w:keepNext w:val="0"/>
              <w:keepLines w:val="0"/>
              <w:suppressLineNumbers w:val="0"/>
              <w:spacing w:before="0" w:beforeAutospacing="0" w:after="0" w:afterAutospacing="0" w:line="320" w:lineRule="exact"/>
              <w:ind w:left="0" w:leftChars="0" w:right="0" w:rightChars="0"/>
              <w:jc w:val="center"/>
              <w:rPr>
                <w:rFonts w:hint="eastAsia" w:ascii="宋体" w:hAnsi="宋体" w:eastAsia="宋体" w:cs="宋体"/>
                <w:bCs/>
                <w:color w:val="auto"/>
                <w:kern w:val="2"/>
                <w:sz w:val="24"/>
                <w:szCs w:val="24"/>
                <w:highlight w:val="none"/>
                <w:u w:val="none"/>
                <w:lang w:val="en-US" w:eastAsia="zh-CN" w:bidi="ar-SA"/>
              </w:rPr>
            </w:pPr>
            <w:r>
              <w:rPr>
                <w:rFonts w:hint="eastAsia" w:asciiTheme="majorEastAsia" w:hAnsiTheme="majorEastAsia" w:eastAsiaTheme="majorEastAsia" w:cstheme="majorEastAsia"/>
                <w:bCs/>
                <w:kern w:val="2"/>
                <w:sz w:val="24"/>
                <w:szCs w:val="24"/>
                <w:highlight w:val="none"/>
                <w:u w:val="none"/>
                <w:lang w:val="en-US" w:eastAsia="zh-CN" w:bidi="ar-SA"/>
              </w:rPr>
              <w:t>54000元</w:t>
            </w:r>
          </w:p>
        </w:tc>
        <w:tc>
          <w:tcPr>
            <w:tcW w:w="1172" w:type="dxa"/>
            <w:tcBorders>
              <w:top w:val="single" w:color="000000" w:sz="4" w:space="0"/>
              <w:left w:val="nil"/>
              <w:right w:val="single" w:color="auto" w:sz="4" w:space="0"/>
            </w:tcBorders>
            <w:noWrap w:val="0"/>
            <w:vAlign w:val="center"/>
          </w:tcPr>
          <w:p w14:paraId="37114434">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Theme="majorEastAsia" w:hAnsiTheme="majorEastAsia" w:eastAsiaTheme="majorEastAsia" w:cstheme="majorEastAsia"/>
                <w:bCs/>
                <w:kern w:val="2"/>
                <w:sz w:val="24"/>
                <w:szCs w:val="24"/>
                <w:highlight w:val="none"/>
                <w:u w:val="none"/>
                <w:lang w:val="en-US" w:eastAsia="zh-CN" w:bidi="ar-SA"/>
              </w:rPr>
              <w:t>5万元</w:t>
            </w:r>
          </w:p>
        </w:tc>
      </w:tr>
      <w:tr w14:paraId="46604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5" w:hRule="atLeast"/>
          <w:jc w:val="center"/>
        </w:trPr>
        <w:tc>
          <w:tcPr>
            <w:tcW w:w="9628" w:type="dxa"/>
            <w:gridSpan w:val="6"/>
            <w:tcBorders>
              <w:top w:val="single" w:color="000000" w:sz="4" w:space="0"/>
              <w:left w:val="single" w:color="auto" w:sz="4" w:space="0"/>
              <w:bottom w:val="single" w:color="000000" w:sz="4" w:space="0"/>
              <w:right w:val="single" w:color="auto" w:sz="4" w:space="0"/>
            </w:tcBorders>
            <w:noWrap w:val="0"/>
            <w:vAlign w:val="center"/>
          </w:tcPr>
          <w:p w14:paraId="014D042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w:t>
            </w: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，租金（不含税）一年一付，先付后用。</w:t>
            </w:r>
          </w:p>
          <w:p w14:paraId="2EE68CA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2.</w:t>
            </w:r>
            <w:r>
              <w:rPr>
                <w:rFonts w:hint="eastAsia" w:ascii="宋体" w:hAnsi="宋体" w:cs="宋体"/>
                <w:bCs/>
                <w:kern w:val="2"/>
                <w:sz w:val="24"/>
                <w:szCs w:val="24"/>
                <w:highlight w:val="none"/>
                <w:lang w:val="en-US" w:eastAsia="zh-CN" w:bidi="ar"/>
              </w:rPr>
              <w:t>装修期2个月，不计租金及租期</w:t>
            </w:r>
            <w:r>
              <w:rPr>
                <w:rFonts w:hint="eastAsia" w:ascii="宋体" w:hAnsi="宋体" w:eastAsia="宋体" w:cs="宋体"/>
                <w:bCs/>
                <w:kern w:val="2"/>
                <w:sz w:val="24"/>
                <w:szCs w:val="24"/>
                <w:highlight w:val="none"/>
                <w:lang w:val="en-US" w:eastAsia="zh-CN" w:bidi="ar"/>
              </w:rPr>
              <w:t>。</w:t>
            </w:r>
          </w:p>
          <w:p w14:paraId="0CB923C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3.</w:t>
            </w:r>
            <w:r>
              <w:rPr>
                <w:rFonts w:hint="eastAsia" w:ascii="宋体" w:hAnsi="宋体" w:cs="宋体"/>
                <w:bCs/>
                <w:kern w:val="2"/>
                <w:sz w:val="24"/>
                <w:szCs w:val="24"/>
                <w:highlight w:val="none"/>
                <w:lang w:val="en-US" w:eastAsia="zh-CN" w:bidi="ar"/>
              </w:rPr>
              <w:t>经营业态：政府允许的行业，禁止有噪音、有污染的行业入驻。</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-2534920</wp:posOffset>
            </wp:positionV>
            <wp:extent cx="5271770" cy="5833110"/>
            <wp:effectExtent l="0" t="0" r="5080" b="15240"/>
            <wp:wrapNone/>
            <wp:docPr id="1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436880</wp:posOffset>
            </wp:positionH>
            <wp:positionV relativeFrom="paragraph">
              <wp:posOffset>107315</wp:posOffset>
            </wp:positionV>
            <wp:extent cx="5271770" cy="5833110"/>
            <wp:effectExtent l="0" t="0" r="5080" b="15240"/>
            <wp:wrapNone/>
            <wp:docPr id="6"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7C574D7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6、标的物无不动产权证，因此，有关部门申请办理相关审批手续及相关证照的风险及责任由承租人自行承担。</w:t>
      </w:r>
    </w:p>
    <w:p w14:paraId="2C6019D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2" w:firstLineChars="1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411480</wp:posOffset>
            </wp:positionH>
            <wp:positionV relativeFrom="paragraph">
              <wp:posOffset>374650</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2026年5月21日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317500</wp:posOffset>
                </wp:positionH>
                <wp:positionV relativeFrom="paragraph">
                  <wp:posOffset>316865</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25pt;margin-top:24.95pt;height:78.3pt;width:461.4pt;z-index:251675648;mso-width-relative:page;mso-height-relative:page;" fillcolor="#FFFFFF" filled="t" stroked="t" coordsize="21600,21600" o:gfxdata="UEsDBAoAAAAAAIdO4kAAAAAAAAAAAAAAAAAEAAAAZHJzL1BLAwQUAAAACACHTuJADUvX9NkAAAAJ&#10;AQAADwAAAGRycy9kb3ducmV2LnhtbE2PwU7DMBBE70j8g7VIXBC1G9q0CXF6QALBDQqCq5tskwh7&#10;HWw3LX/PcoLjalYz71Wbk7NiwhAHTxrmMwUCqfHtQJ2Gt9f76zWImAy1xnpCDd8YYVOfn1WmbP2R&#10;XnDapk5wCcXSaOhTGkspY9OjM3HmRyTO9j44k/gMnWyDOXK5szJTKpfODMQLvRnxrsfmc3twGtaL&#10;x+kjPt08vzf53hbpajU9fAWtLy/m6hZEwlP6e4ZffEaHmpl2/kBtFFbDUrFK0rAoChCcF6uMVXYa&#10;MpUvQdaV/G9Q/wBQSwMEFAAAAAgAh07iQPorjcgxAgAAeAQAAA4AAABkcnMvZTJvRG9jLnhtbK1U&#10;S5LTMBDdU8UdVNoTOyGBTGqcqWJC2FBA1cABFFmOVaUfkpI4HABuwIoNe86Vc/AkZ0JmYJEFXtgt&#10;qfX69etuX990WpGt8EFaU9HhoKREGG5radYV/fRx+WxKSYjM1ExZIyq6F4HezJ8+ud65mRjZ1qpa&#10;eAIQE2Y7V9E2RjcrisBboVkYWCcMDhvrNYtY+nVRe7YDulbFqCxfFDvra+ctFyFgd9Ef0iOivwTQ&#10;No3kYmH5RgsTe1QvFItIKbTSBTrPbJtG8Pi+aYKIRFUUmcb8RhDYq/Qu5tdstvbMtZIfKbBLKDzK&#10;STNpEPQEtWCRkY2Xf0Fpyb0NtokDbnXRJ5IVQRbD8pE2dy1zIucCqYM7iR7+Hyx/t/3giawrOhpS&#10;YphGxQ/fvx1+/Dr8/EomSZ+dCzO43Tk4xu6V7dA19/sBmyntrvE6fZEQwTnU3Z/UFV0kHJuTcTke&#10;TyeUcJxdPX85vcrwxZ/bzof4RlhNklFRj+plUdn2bYhgAtd7lxQsWCXrpVQqL/x6das82TJUepmf&#10;RBJXHrgpQ3aIPhklHgzt26BtYGoHCYJZ53gPboRz4DI//wJOxBYstD2BjJDc2EzLKHy2WsHq16Ym&#10;ce+gssF00URGi5oSJTCMycqekUl1iSeyUyYFEbnVjyqlgvWFSVbsVh1Ak7my9R5FxPBD3db6L4iP&#10;1kfinzfMgw0zHNsVhSK9eRv7Wdk4L9ctbuXKFwkMDZnlPQ5P6vjzNezzH8b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1L1/TZAAAACQEAAA8AAAAAAAAAAQAgAAAAIgAAAGRycy9kb3ducmV2Lnht&#10;bFBLAQIUABQAAAAIAIdO4kD6K43IMQIAAHgEAAAOAAAAAAAAAAEAIAAAACgBAABkcnMvZTJvRG9j&#10;LnhtbFBLBQYAAAAABgAGAFkBAADLBQ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088" w:bottom="1440" w:left="1088" w:header="851" w:footer="992" w:gutter="0"/>
          <w:pgNumType w:fmt="decimal" w:start="1"/>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2026年5月28日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租期5年，第1-3年租金为竞价成交价，第4-5年租金在第3年租金的基础上递增2%，租金（不含税）一年一付，先付后用</w:t>
      </w:r>
      <w:r>
        <w:rPr>
          <w:rFonts w:hint="eastAsia" w:ascii="宋体" w:hAnsi="宋体"/>
          <w:b/>
          <w:bCs/>
          <w:color w:val="auto"/>
          <w:sz w:val="24"/>
          <w:highlight w:val="none"/>
          <w:lang w:eastAsia="zh-CN"/>
        </w:rPr>
        <w:t>。</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具体租赁事项以竞得人与温州市龙湾区蒲州街道江前村集体经济组织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w:t>
      </w:r>
      <w:r>
        <w:rPr>
          <w:rFonts w:hint="eastAsia" w:ascii="宋体" w:hAnsi="宋体"/>
          <w:color w:val="auto"/>
          <w:kern w:val="2"/>
          <w:sz w:val="24"/>
          <w:szCs w:val="24"/>
          <w:highlight w:val="none"/>
          <w:lang w:val="en-US" w:eastAsia="zh-CN" w:bidi="ar-SA"/>
        </w:rPr>
        <w:t>026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 xml:space="preserve">  </w:t>
      </w:r>
      <w:r>
        <w:rPr>
          <w:rFonts w:hint="eastAsia" w:ascii="宋体" w:hAnsi="宋体" w:eastAsia="宋体"/>
          <w:color w:val="auto"/>
          <w:kern w:val="2"/>
          <w:sz w:val="24"/>
          <w:szCs w:val="24"/>
          <w:highlight w:val="none"/>
          <w:lang w:val="en-US" w:eastAsia="zh-CN" w:bidi="ar-SA"/>
        </w:rPr>
        <w:t>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温州市龙湾区蒲州街道江前村集体经济组织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02A91E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2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2530D56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C9CA34">
      <w:pPr>
        <w:pStyle w:val="4"/>
        <w:spacing w:line="380" w:lineRule="exact"/>
        <w:rPr>
          <w:rFonts w:hint="eastAsia" w:ascii="宋体" w:hAnsi="宋体" w:cs="宋体"/>
          <w:color w:val="auto"/>
          <w:szCs w:val="24"/>
          <w:highlight w:val="none"/>
          <w:u w:val="none"/>
          <w:lang w:val="en-US" w:eastAsia="zh-CN"/>
        </w:rPr>
      </w:pPr>
      <w:r>
        <w:rPr>
          <w:rFonts w:hint="eastAsia" w:ascii="宋体" w:hAnsi="宋体" w:eastAsia="宋体" w:cs="宋体"/>
          <w:color w:val="auto"/>
          <w:szCs w:val="24"/>
          <w:highlight w:val="none"/>
          <w:u w:val="none"/>
          <w:lang w:val="en-US" w:eastAsia="zh-CN"/>
        </w:rPr>
        <w:t>4.</w:t>
      </w:r>
      <w:r>
        <w:rPr>
          <w:rFonts w:hint="eastAsia" w:ascii="宋体" w:hAnsi="宋体" w:cs="宋体"/>
          <w:color w:val="auto"/>
          <w:szCs w:val="24"/>
          <w:highlight w:val="none"/>
          <w:u w:val="none"/>
          <w:lang w:val="en-US" w:eastAsia="zh-CN"/>
        </w:rPr>
        <w:t>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DF2CA88">
      <w:pPr>
        <w:pStyle w:val="4"/>
        <w:spacing w:line="380" w:lineRule="exact"/>
        <w:rPr>
          <w:rFonts w:hint="eastAsia" w:ascii="宋体" w:hAnsi="宋体" w:eastAsia="宋体" w:cs="宋体"/>
          <w:color w:val="auto"/>
          <w:szCs w:val="24"/>
          <w:highlight w:val="none"/>
          <w:u w:val="singl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6.租期5年，第1-3年租金为竞价成交价，第4-5年租金在第3年租金基础上递增</w:t>
      </w:r>
      <w:r>
        <w:rPr>
          <w:rFonts w:hint="eastAsia" w:ascii="宋体" w:hAnsi="宋体" w:cs="宋体"/>
          <w:color w:val="auto"/>
          <w:szCs w:val="24"/>
          <w:highlight w:val="none"/>
          <w:u w:val="single"/>
          <w:lang w:val="en-US" w:eastAsia="zh-CN"/>
        </w:rPr>
        <w:t>2%</w:t>
      </w:r>
      <w:r>
        <w:rPr>
          <w:rFonts w:hint="eastAsia" w:ascii="宋体" w:hAnsi="宋体" w:eastAsia="宋体" w:cs="宋体"/>
          <w:color w:val="auto"/>
          <w:szCs w:val="24"/>
          <w:highlight w:val="none"/>
          <w:u w:val="single"/>
          <w:lang w:val="en-US" w:eastAsia="zh-CN"/>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494A811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帐户，甲方仅向乙方出具增值税发票，租赁税等一切税、费均由</w:t>
      </w:r>
      <w:r>
        <w:rPr>
          <w:rFonts w:hint="eastAsia" w:ascii="宋体" w:hAnsi="宋体" w:cs="宋体"/>
          <w:color w:val="auto"/>
          <w:szCs w:val="24"/>
          <w:highlight w:val="none"/>
          <w:lang w:val="en-US" w:eastAsia="zh-CN"/>
        </w:rPr>
        <w:t>乙方</w:t>
      </w:r>
      <w:r>
        <w:rPr>
          <w:rFonts w:hint="eastAsia" w:ascii="宋体" w:hAnsi="宋体" w:cs="宋体"/>
          <w:color w:val="auto"/>
          <w:szCs w:val="24"/>
          <w:highlight w:val="none"/>
        </w:rPr>
        <w:t>承担并自行结算（含</w:t>
      </w:r>
      <w:r>
        <w:rPr>
          <w:rFonts w:hint="eastAsia" w:ascii="宋体" w:hAnsi="宋体" w:cs="宋体"/>
          <w:color w:val="auto"/>
          <w:szCs w:val="24"/>
          <w:highlight w:val="none"/>
          <w:lang w:val="en-US" w:eastAsia="zh-CN"/>
        </w:rPr>
        <w:t>甲方</w:t>
      </w:r>
      <w:r>
        <w:rPr>
          <w:rFonts w:hint="eastAsia" w:ascii="宋体" w:hAnsi="宋体" w:cs="宋体"/>
          <w:color w:val="auto"/>
          <w:szCs w:val="24"/>
          <w:highlight w:val="none"/>
        </w:rPr>
        <w:t>因租赁关系需向税务等有关部门缴纳的一切税费）。</w:t>
      </w:r>
    </w:p>
    <w:p w14:paraId="12ECF52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4"/>
        <w:spacing w:line="380" w:lineRule="exact"/>
        <w:ind w:left="240" w:hanging="240" w:hangingChars="100"/>
        <w:rPr>
          <w:rFonts w:ascii="宋体" w:hAnsi="宋体" w:cs="宋体"/>
          <w:szCs w:val="24"/>
        </w:rPr>
      </w:pPr>
    </w:p>
    <w:p w14:paraId="3F5466C7">
      <w:pPr>
        <w:pStyle w:val="4"/>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3"/>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3"/>
        <w:rPr>
          <w:rFonts w:hint="eastAsia"/>
        </w:rPr>
      </w:pPr>
    </w:p>
    <w:p w14:paraId="26351700">
      <w:pPr>
        <w:rPr>
          <w:rFonts w:hint="eastAsia"/>
        </w:rPr>
      </w:pPr>
    </w:p>
    <w:p w14:paraId="2B540742">
      <w:pPr>
        <w:pStyle w:val="3"/>
        <w:rPr>
          <w:rFonts w:hint="eastAsia"/>
        </w:rPr>
      </w:pPr>
    </w:p>
    <w:p w14:paraId="3D806041">
      <w:pPr>
        <w:rPr>
          <w:rFonts w:hint="eastAsia"/>
        </w:rPr>
      </w:pPr>
    </w:p>
    <w:p w14:paraId="6882486E">
      <w:pPr>
        <w:pStyle w:val="3"/>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6672" behindDoc="0" locked="0" layoutInCell="1" allowOverlap="1">
                <wp:simplePos x="0" y="0"/>
                <wp:positionH relativeFrom="column">
                  <wp:posOffset>131445</wp:posOffset>
                </wp:positionH>
                <wp:positionV relativeFrom="paragraph">
                  <wp:posOffset>123825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0.35pt;margin-top:9.75pt;height:94.5pt;width:478.5pt;z-index:251676672;mso-width-relative:page;mso-height-relative:page;" fillcolor="#FFFFFF" filled="t" stroked="t" coordsize="21600,21600" o:gfxdata="UEsDBAoAAAAAAIdO4kAAAAAAAAAAAAAAAAAEAAAAZHJzL1BLAwQUAAAACACHTuJAPTDvHdQAAAAJ&#10;AQAADwAAAGRycy9kb3ducmV2LnhtbE2PzW6DMBCE75X6DtZW6qVKDJFSB4LJoVEeID8PYPAGSPEa&#10;YYfQt+/m1B53vtHMbLGbXS8mHEPnSUO6TEAg1d521Gi4nA+LDYgQDVnTe0INPxhgV76+FCa3/kFH&#10;nE6xERxCITca2hiHXMpQt+hMWPoBidnVj85EPsdG2tE8ONz1cpUkn9KZjrihNQN+tVh/n+6OS24X&#10;f55C9rH3w6yO6aHaq6vS+v0tTbYgIs7xzwzP+TwdSt5U+TvZIHoNq0Sxk/VsDYJ5phQL1RNs1iDL&#10;Qv7/oPwF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TDvH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25923BFF">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7654E2"/>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645741"/>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1D728F"/>
    <w:rsid w:val="0E462B7A"/>
    <w:rsid w:val="0E4A0F5E"/>
    <w:rsid w:val="0E9438E5"/>
    <w:rsid w:val="0EA31D7A"/>
    <w:rsid w:val="0EC73CBB"/>
    <w:rsid w:val="0EC94887"/>
    <w:rsid w:val="0ECA5559"/>
    <w:rsid w:val="0ECF57CF"/>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4474AA"/>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072531"/>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4FC3DFD"/>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AFF18DB"/>
    <w:rsid w:val="1B134C01"/>
    <w:rsid w:val="1B21373F"/>
    <w:rsid w:val="1B2D42DC"/>
    <w:rsid w:val="1B44703D"/>
    <w:rsid w:val="1B486183"/>
    <w:rsid w:val="1B4A06C8"/>
    <w:rsid w:val="1B4D32E6"/>
    <w:rsid w:val="1B4E306E"/>
    <w:rsid w:val="1B55319F"/>
    <w:rsid w:val="1B851185"/>
    <w:rsid w:val="1BA23D33"/>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02EEE"/>
    <w:rsid w:val="27412F7C"/>
    <w:rsid w:val="27483067"/>
    <w:rsid w:val="274A6DDF"/>
    <w:rsid w:val="274C6FFB"/>
    <w:rsid w:val="27513007"/>
    <w:rsid w:val="275C6B14"/>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1E1473"/>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8521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351A1"/>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BD5A8E"/>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AB75E3"/>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057D6B"/>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03D85"/>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1F52FF"/>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1D6F8A"/>
    <w:rsid w:val="4F2204BE"/>
    <w:rsid w:val="4F651001"/>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324D62"/>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5FF57ED0"/>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4FC4E07"/>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20955"/>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3F7E"/>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DE27CF"/>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778C4"/>
    <w:rsid w:val="7D7949FF"/>
    <w:rsid w:val="7D7B0C16"/>
    <w:rsid w:val="7D7B29C4"/>
    <w:rsid w:val="7D837741"/>
    <w:rsid w:val="7D9367B8"/>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6711</Words>
  <Characters>6988</Characters>
  <Lines>74</Lines>
  <Paragraphs>20</Paragraphs>
  <TotalTime>4</TotalTime>
  <ScaleCrop>false</ScaleCrop>
  <LinksUpToDate>false</LinksUpToDate>
  <CharactersWithSpaces>7535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2024-03-27T17:30:00Z</cp:lastPrinted>
  <dcterms:modified xsi:type="dcterms:W3CDTF">2026-05-21T00:49:56Z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408104A01B93485098D7C424163B17A2_13</vt:lpwstr>
  </property>
  <property fmtid="{D5CDD505-2E9C-101B-9397-08002B2CF9AE}" pid="4" name="KSOTemplateDocerSaveRecord">
    <vt:lpwstr>eyJoZGlkIjoiZWY3YzVmZWRlOTZkZTAyYmRiYmYxNjRkOTE5OWVjNGEiLCJ1c2VySWQiOiIzODY3MjAwMTYifQ==</vt:lpwstr>
  </property>
</Properties>
</file>