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Theme="majorEastAsia" w:hAnsiTheme="majorEastAsia" w:eastAsiaTheme="majorEastAsia" w:cstheme="majorEastAsia"/>
          <w:b/>
          <w:bCs/>
          <w:color w:val="auto"/>
          <w:sz w:val="36"/>
          <w:szCs w:val="36"/>
          <w:lang w:val="en-US" w:eastAsia="zh-CN"/>
        </w:rPr>
        <w:t>温州市龙湾区蒲州街道上庄村上庄南路128号及上庄北岸乐园两宗资产三年租赁权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67F1D6AC">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 xml:space="preserve">2026年5月21日 </w:t>
      </w:r>
    </w:p>
    <w:p w14:paraId="7B0ABCC9">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Theme="majorEastAsia" w:hAnsiTheme="majorEastAsia" w:eastAsiaTheme="majorEastAsia" w:cstheme="majorEastAsia"/>
          <w:b/>
          <w:bCs/>
          <w:color w:val="auto"/>
          <w:sz w:val="36"/>
          <w:szCs w:val="36"/>
          <w:lang w:val="en-US" w:eastAsia="zh-CN"/>
        </w:rPr>
        <w:t>温州市龙湾区蒲州街道上庄村上庄南路128号及上庄北岸乐园两宗资产三年租赁权</w:t>
      </w:r>
      <w:r>
        <w:rPr>
          <w:rFonts w:hint="eastAsia" w:ascii="宋体" w:hAnsi="宋体" w:cs="宋体"/>
          <w:b/>
          <w:bCs/>
          <w:color w:val="000000" w:themeColor="text1"/>
          <w:sz w:val="36"/>
          <w:szCs w:val="36"/>
          <w:u w:val="none"/>
          <w:lang w:val="en-US" w:eastAsia="zh-CN"/>
          <w14:textFill>
            <w14:solidFill>
              <w14:schemeClr w14:val="tx1"/>
            </w14:solidFill>
          </w14:textFill>
        </w:rPr>
        <w:t>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2026年5月28日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2026年5月29日上午9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u w:val="none"/>
          <w:lang w:val="en-US" w:eastAsia="zh-CN"/>
        </w:rPr>
        <w:t>温州市龙湾区蒲州街道上庄村上庄南路128号及上庄北岸乐园两宗资产三年租赁权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75"/>
        <w:gridCol w:w="3925"/>
        <w:gridCol w:w="1202"/>
        <w:gridCol w:w="1335"/>
        <w:gridCol w:w="1720"/>
      </w:tblGrid>
      <w:tr w14:paraId="1E23E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581" w:type="pct"/>
            <w:tcBorders>
              <w:top w:val="single" w:color="000000" w:sz="4" w:space="0"/>
              <w:left w:val="single" w:color="auto" w:sz="4" w:space="0"/>
              <w:bottom w:val="single" w:color="000000" w:sz="4" w:space="0"/>
              <w:right w:val="single" w:color="000000" w:sz="4" w:space="0"/>
            </w:tcBorders>
            <w:noWrap w:val="0"/>
            <w:vAlign w:val="center"/>
          </w:tcPr>
          <w:p w14:paraId="1BA54A2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标的</w:t>
            </w:r>
          </w:p>
          <w:p w14:paraId="0BA06F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编号</w:t>
            </w:r>
          </w:p>
        </w:tc>
        <w:tc>
          <w:tcPr>
            <w:tcW w:w="2120" w:type="pct"/>
            <w:tcBorders>
              <w:top w:val="single" w:color="000000" w:sz="4" w:space="0"/>
              <w:left w:val="single" w:color="000000" w:sz="4" w:space="0"/>
              <w:bottom w:val="single" w:color="000000" w:sz="4" w:space="0"/>
              <w:right w:val="single" w:color="000000" w:sz="4" w:space="0"/>
            </w:tcBorders>
            <w:noWrap w:val="0"/>
            <w:vAlign w:val="center"/>
          </w:tcPr>
          <w:p w14:paraId="1BBA57A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14:paraId="667CA6E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721" w:type="pct"/>
            <w:tcBorders>
              <w:top w:val="single" w:color="000000" w:sz="4" w:space="0"/>
              <w:left w:val="nil"/>
              <w:bottom w:val="single" w:color="000000" w:sz="4" w:space="0"/>
              <w:right w:val="single" w:color="auto" w:sz="4" w:space="0"/>
            </w:tcBorders>
            <w:noWrap w:val="0"/>
            <w:vAlign w:val="center"/>
          </w:tcPr>
          <w:p w14:paraId="2BA0E22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4C8FFEA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927" w:type="pct"/>
            <w:tcBorders>
              <w:top w:val="single" w:color="000000" w:sz="4" w:space="0"/>
              <w:left w:val="nil"/>
              <w:bottom w:val="single" w:color="000000" w:sz="4" w:space="0"/>
              <w:right w:val="single" w:color="auto" w:sz="4" w:space="0"/>
            </w:tcBorders>
            <w:noWrap w:val="0"/>
            <w:vAlign w:val="center"/>
          </w:tcPr>
          <w:p w14:paraId="0BB4F65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竞价</w:t>
            </w:r>
          </w:p>
          <w:p w14:paraId="1580FA6D">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保证金</w:t>
            </w:r>
          </w:p>
        </w:tc>
      </w:tr>
      <w:tr w14:paraId="1E231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581" w:type="pct"/>
            <w:tcBorders>
              <w:top w:val="single" w:color="000000" w:sz="4" w:space="0"/>
              <w:left w:val="single" w:color="auto" w:sz="4" w:space="0"/>
              <w:right w:val="single" w:color="000000" w:sz="4" w:space="0"/>
            </w:tcBorders>
            <w:noWrap w:val="0"/>
            <w:vAlign w:val="center"/>
          </w:tcPr>
          <w:p w14:paraId="6C70F2E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1</w:t>
            </w:r>
          </w:p>
        </w:tc>
        <w:tc>
          <w:tcPr>
            <w:tcW w:w="2120" w:type="pct"/>
            <w:tcBorders>
              <w:top w:val="single" w:color="000000" w:sz="4" w:space="0"/>
              <w:left w:val="single" w:color="000000" w:sz="4" w:space="0"/>
              <w:right w:val="single" w:color="000000" w:sz="4" w:space="0"/>
            </w:tcBorders>
            <w:noWrap w:val="0"/>
            <w:vAlign w:val="center"/>
          </w:tcPr>
          <w:p w14:paraId="1BABE806">
            <w:pPr>
              <w:spacing w:line="320" w:lineRule="exact"/>
              <w:jc w:val="center"/>
              <w:rPr>
                <w:rFonts w:hint="eastAsia" w:ascii="宋体" w:hAnsi="宋体" w:eastAsia="宋体" w:cs="宋体"/>
                <w:bCs/>
                <w:kern w:val="2"/>
                <w:sz w:val="24"/>
                <w:szCs w:val="24"/>
                <w:highlight w:val="none"/>
              </w:rPr>
            </w:pPr>
            <w:r>
              <w:rPr>
                <w:rFonts w:hint="eastAsia" w:asciiTheme="minorEastAsia" w:hAnsiTheme="minorEastAsia" w:eastAsiaTheme="minorEastAsia" w:cstheme="minorEastAsia"/>
                <w:bCs/>
                <w:sz w:val="24"/>
                <w:szCs w:val="24"/>
                <w:highlight w:val="none"/>
                <w:lang w:val="en-US" w:eastAsia="zh-CN"/>
              </w:rPr>
              <w:t>温州市龙湾区</w:t>
            </w:r>
            <w:r>
              <w:rPr>
                <w:rFonts w:hint="eastAsia" w:asciiTheme="minorEastAsia" w:hAnsiTheme="minorEastAsia" w:cstheme="minorEastAsia"/>
                <w:bCs/>
                <w:sz w:val="24"/>
                <w:szCs w:val="24"/>
                <w:highlight w:val="none"/>
                <w:lang w:val="en-US" w:eastAsia="zh-CN"/>
              </w:rPr>
              <w:t>蒲州街道上庄村上庄南路128号三</w:t>
            </w:r>
            <w:r>
              <w:rPr>
                <w:rFonts w:hint="eastAsia" w:asciiTheme="minorEastAsia" w:hAnsiTheme="minorEastAsia" w:eastAsiaTheme="minorEastAsia" w:cstheme="minorEastAsia"/>
                <w:bCs/>
                <w:sz w:val="24"/>
                <w:szCs w:val="24"/>
                <w:highlight w:val="none"/>
                <w:lang w:val="en-US" w:eastAsia="zh-CN"/>
              </w:rPr>
              <w:t>年租赁权</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14:paraId="5B9AF94D">
            <w:pPr>
              <w:spacing w:line="320" w:lineRule="exact"/>
              <w:jc w:val="center"/>
              <w:rPr>
                <w:rFonts w:hint="eastAsia" w:ascii="宋体" w:hAnsi="宋体" w:eastAsia="宋体" w:cs="宋体"/>
                <w:bCs/>
                <w:kern w:val="2"/>
                <w:sz w:val="24"/>
                <w:szCs w:val="24"/>
                <w:highlight w:val="none"/>
              </w:rPr>
            </w:pPr>
            <w:r>
              <w:rPr>
                <w:rFonts w:hint="eastAsia" w:asciiTheme="minorEastAsia" w:hAnsiTheme="minorEastAsia" w:cstheme="minorEastAsia"/>
                <w:bCs/>
                <w:kern w:val="2"/>
                <w:sz w:val="24"/>
                <w:szCs w:val="24"/>
                <w:highlight w:val="none"/>
                <w:lang w:val="en-US" w:eastAsia="zh-CN" w:bidi="ar-SA"/>
              </w:rPr>
              <w:t>约25㎡</w:t>
            </w:r>
          </w:p>
        </w:tc>
        <w:tc>
          <w:tcPr>
            <w:tcW w:w="1335" w:type="dxa"/>
            <w:tcBorders>
              <w:top w:val="single" w:color="000000" w:sz="4" w:space="0"/>
              <w:left w:val="nil"/>
              <w:right w:val="single" w:color="auto" w:sz="4" w:space="0"/>
            </w:tcBorders>
            <w:noWrap w:val="0"/>
            <w:vAlign w:val="center"/>
          </w:tcPr>
          <w:p w14:paraId="0FCA15F4">
            <w:pPr>
              <w:keepNext w:val="0"/>
              <w:keepLines w:val="0"/>
              <w:widowControl/>
              <w:suppressLineNumbers w:val="0"/>
              <w:jc w:val="center"/>
              <w:textAlignment w:val="center"/>
              <w:rPr>
                <w:rFonts w:hint="default" w:asciiTheme="minorEastAsia" w:hAnsiTheme="minorEastAsia" w:cstheme="minorEastAsia"/>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15747</w:t>
            </w:r>
            <w:r>
              <w:rPr>
                <w:rFonts w:hint="eastAsia" w:ascii="宋体" w:hAnsi="宋体" w:cs="宋体"/>
                <w:i w:val="0"/>
                <w:iCs w:val="0"/>
                <w:color w:val="000000"/>
                <w:kern w:val="0"/>
                <w:sz w:val="24"/>
                <w:szCs w:val="24"/>
                <w:u w:val="none"/>
                <w:lang w:val="en-US" w:eastAsia="zh-CN" w:bidi="ar"/>
              </w:rPr>
              <w:t>元</w:t>
            </w:r>
          </w:p>
        </w:tc>
        <w:tc>
          <w:tcPr>
            <w:tcW w:w="927" w:type="pct"/>
            <w:tcBorders>
              <w:top w:val="single" w:color="000000" w:sz="4" w:space="0"/>
              <w:left w:val="nil"/>
              <w:right w:val="single" w:color="auto" w:sz="4" w:space="0"/>
            </w:tcBorders>
            <w:shd w:val="clear" w:color="auto" w:fill="auto"/>
            <w:noWrap w:val="0"/>
            <w:vAlign w:val="center"/>
          </w:tcPr>
          <w:p w14:paraId="291292C7">
            <w:pPr>
              <w:spacing w:line="320" w:lineRule="exact"/>
              <w:jc w:val="center"/>
              <w:rPr>
                <w:rFonts w:hint="eastAsia" w:eastAsia="宋体" w:asciiTheme="minorEastAsia" w:hAnsiTheme="minorEastAsia" w:cstheme="minorEastAsia"/>
                <w:kern w:val="2"/>
                <w:sz w:val="24"/>
                <w:szCs w:val="24"/>
                <w:highlight w:val="none"/>
                <w:lang w:val="en-US" w:eastAsia="zh-CN" w:bidi="ar-SA"/>
              </w:rPr>
            </w:pPr>
            <w:r>
              <w:rPr>
                <w:rFonts w:hint="eastAsia" w:asciiTheme="minorEastAsia" w:hAnsiTheme="minorEastAsia" w:cstheme="minorEastAsia"/>
                <w:kern w:val="2"/>
                <w:sz w:val="24"/>
                <w:szCs w:val="24"/>
                <w:highlight w:val="none"/>
                <w:lang w:val="en-US" w:eastAsia="zh-CN" w:bidi="ar-SA"/>
              </w:rPr>
              <w:t>1万元</w:t>
            </w:r>
          </w:p>
        </w:tc>
      </w:tr>
      <w:tr w14:paraId="5D257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581" w:type="pct"/>
            <w:tcBorders>
              <w:top w:val="single" w:color="000000" w:sz="4" w:space="0"/>
              <w:left w:val="single" w:color="auto" w:sz="4" w:space="0"/>
              <w:right w:val="single" w:color="000000" w:sz="4" w:space="0"/>
            </w:tcBorders>
            <w:noWrap w:val="0"/>
            <w:vAlign w:val="center"/>
          </w:tcPr>
          <w:p w14:paraId="3D8BA08C">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p>
        </w:tc>
        <w:tc>
          <w:tcPr>
            <w:tcW w:w="2120" w:type="pct"/>
            <w:tcBorders>
              <w:top w:val="single" w:color="000000" w:sz="4" w:space="0"/>
              <w:left w:val="single" w:color="000000" w:sz="4" w:space="0"/>
              <w:right w:val="single" w:color="000000" w:sz="4" w:space="0"/>
            </w:tcBorders>
            <w:noWrap w:val="0"/>
            <w:vAlign w:val="center"/>
          </w:tcPr>
          <w:p w14:paraId="59CD8A44">
            <w:pPr>
              <w:spacing w:line="320" w:lineRule="exact"/>
              <w:jc w:val="center"/>
              <w:rPr>
                <w:rFonts w:hint="eastAsia" w:ascii="宋体" w:hAnsi="宋体" w:eastAsia="宋体" w:cs="Times New Roman"/>
                <w:bCs/>
                <w:color w:val="auto"/>
                <w:sz w:val="24"/>
                <w:szCs w:val="24"/>
                <w:highlight w:val="none"/>
                <w:u w:val="none"/>
                <w:shd w:val="clear" w:color="auto" w:fill="FFFFFF"/>
                <w:lang w:val="en-US" w:eastAsia="zh-CN"/>
              </w:rPr>
            </w:pPr>
            <w:r>
              <w:rPr>
                <w:rFonts w:hint="eastAsia" w:asciiTheme="minorEastAsia" w:hAnsiTheme="minorEastAsia" w:eastAsiaTheme="minorEastAsia" w:cstheme="minorEastAsia"/>
                <w:bCs/>
                <w:sz w:val="24"/>
                <w:szCs w:val="24"/>
                <w:highlight w:val="none"/>
                <w:lang w:val="en-US" w:eastAsia="zh-CN"/>
              </w:rPr>
              <w:t>温州市龙湾区</w:t>
            </w:r>
            <w:r>
              <w:rPr>
                <w:rFonts w:hint="eastAsia" w:asciiTheme="minorEastAsia" w:hAnsiTheme="minorEastAsia" w:cstheme="minorEastAsia"/>
                <w:bCs/>
                <w:sz w:val="24"/>
                <w:szCs w:val="24"/>
                <w:highlight w:val="none"/>
                <w:lang w:val="en-US" w:eastAsia="zh-CN"/>
              </w:rPr>
              <w:t>蒲州街道上庄村上庄北岸乐园一间店面三</w:t>
            </w:r>
            <w:r>
              <w:rPr>
                <w:rFonts w:hint="eastAsia" w:asciiTheme="minorEastAsia" w:hAnsiTheme="minorEastAsia" w:eastAsiaTheme="minorEastAsia" w:cstheme="minorEastAsia"/>
                <w:bCs/>
                <w:sz w:val="24"/>
                <w:szCs w:val="24"/>
                <w:highlight w:val="none"/>
                <w:lang w:val="en-US" w:eastAsia="zh-CN"/>
              </w:rPr>
              <w:t>年租赁权</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14:paraId="3E17AC2A">
            <w:pPr>
              <w:spacing w:line="320" w:lineRule="exact"/>
              <w:jc w:val="center"/>
              <w:rPr>
                <w:rFonts w:hint="eastAsia" w:ascii="宋体" w:hAnsi="宋体" w:eastAsia="宋体" w:cs="宋体"/>
                <w:bCs/>
                <w:kern w:val="2"/>
                <w:sz w:val="24"/>
                <w:szCs w:val="24"/>
                <w:highlight w:val="none"/>
                <w:lang w:val="en-US" w:eastAsia="zh-CN"/>
              </w:rPr>
            </w:pPr>
            <w:r>
              <w:rPr>
                <w:rFonts w:hint="eastAsia" w:asciiTheme="minorEastAsia" w:hAnsiTheme="minorEastAsia" w:cstheme="minorEastAsia"/>
                <w:bCs/>
                <w:kern w:val="2"/>
                <w:sz w:val="24"/>
                <w:szCs w:val="24"/>
                <w:highlight w:val="none"/>
                <w:lang w:val="en-US" w:eastAsia="zh-CN" w:bidi="ar-SA"/>
              </w:rPr>
              <w:t>约15㎡</w:t>
            </w:r>
          </w:p>
        </w:tc>
        <w:tc>
          <w:tcPr>
            <w:tcW w:w="1335" w:type="dxa"/>
            <w:tcBorders>
              <w:top w:val="single" w:color="000000" w:sz="4" w:space="0"/>
              <w:left w:val="nil"/>
              <w:right w:val="single" w:color="auto" w:sz="4" w:space="0"/>
            </w:tcBorders>
            <w:noWrap w:val="0"/>
            <w:vAlign w:val="center"/>
          </w:tcPr>
          <w:p w14:paraId="7BF65D3A">
            <w:pPr>
              <w:keepNext w:val="0"/>
              <w:keepLines w:val="0"/>
              <w:widowControl/>
              <w:suppressLineNumbers w:val="0"/>
              <w:jc w:val="center"/>
              <w:textAlignment w:val="center"/>
              <w:rPr>
                <w:rFonts w:hint="default" w:asciiTheme="minorEastAsia" w:hAnsiTheme="minorEastAsia" w:cstheme="minorEastAsia"/>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5905</w:t>
            </w:r>
            <w:r>
              <w:rPr>
                <w:rFonts w:hint="eastAsia" w:ascii="宋体" w:hAnsi="宋体" w:cs="宋体"/>
                <w:i w:val="0"/>
                <w:iCs w:val="0"/>
                <w:color w:val="000000"/>
                <w:kern w:val="0"/>
                <w:sz w:val="24"/>
                <w:szCs w:val="24"/>
                <w:u w:val="none"/>
                <w:lang w:val="en-US" w:eastAsia="zh-CN" w:bidi="ar"/>
              </w:rPr>
              <w:t>元</w:t>
            </w:r>
          </w:p>
        </w:tc>
        <w:tc>
          <w:tcPr>
            <w:tcW w:w="927" w:type="pct"/>
            <w:tcBorders>
              <w:top w:val="single" w:color="000000" w:sz="4" w:space="0"/>
              <w:left w:val="nil"/>
              <w:right w:val="single" w:color="auto" w:sz="4" w:space="0"/>
            </w:tcBorders>
            <w:shd w:val="clear" w:color="auto" w:fill="auto"/>
            <w:noWrap w:val="0"/>
            <w:vAlign w:val="center"/>
          </w:tcPr>
          <w:p w14:paraId="5A2A6C92">
            <w:pPr>
              <w:spacing w:line="320" w:lineRule="exact"/>
              <w:jc w:val="center"/>
              <w:rPr>
                <w:rFonts w:hint="eastAsia" w:eastAsia="宋体" w:asciiTheme="minorEastAsia" w:hAnsiTheme="minorEastAsia" w:cstheme="minorEastAsia"/>
                <w:kern w:val="2"/>
                <w:sz w:val="24"/>
                <w:szCs w:val="24"/>
                <w:highlight w:val="none"/>
                <w:lang w:val="en-US" w:eastAsia="zh-CN" w:bidi="ar-SA"/>
              </w:rPr>
            </w:pPr>
            <w:r>
              <w:rPr>
                <w:rFonts w:hint="eastAsia" w:asciiTheme="minorEastAsia" w:hAnsiTheme="minorEastAsia" w:cstheme="minorEastAsia"/>
                <w:kern w:val="2"/>
                <w:sz w:val="24"/>
                <w:szCs w:val="24"/>
                <w:highlight w:val="none"/>
                <w:lang w:val="en-US" w:eastAsia="zh-CN" w:bidi="ar-SA"/>
              </w:rPr>
              <w:t>5000元</w:t>
            </w:r>
          </w:p>
        </w:tc>
      </w:tr>
      <w:tr w14:paraId="426BE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0" w:hRule="atLeast"/>
          <w:jc w:val="center"/>
        </w:trPr>
        <w:tc>
          <w:tcPr>
            <w:tcW w:w="5000" w:type="pct"/>
            <w:gridSpan w:val="5"/>
            <w:tcBorders>
              <w:top w:val="single" w:color="000000" w:sz="4" w:space="0"/>
              <w:left w:val="single" w:color="auto" w:sz="4" w:space="0"/>
              <w:bottom w:val="single" w:color="000000" w:sz="4" w:space="0"/>
              <w:right w:val="single" w:color="auto" w:sz="4" w:space="0"/>
            </w:tcBorders>
            <w:noWrap w:val="0"/>
            <w:vAlign w:val="center"/>
          </w:tcPr>
          <w:p w14:paraId="2ACF428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ind w:left="0" w:right="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注：租期</w:t>
            </w:r>
            <w:r>
              <w:rPr>
                <w:rFonts w:hint="eastAsia" w:ascii="宋体" w:hAnsi="宋体" w:cs="宋体"/>
                <w:bCs/>
                <w:kern w:val="2"/>
                <w:sz w:val="24"/>
                <w:szCs w:val="24"/>
                <w:highlight w:val="none"/>
                <w:lang w:val="en-US" w:eastAsia="zh-CN" w:bidi="ar"/>
              </w:rPr>
              <w:t>三</w:t>
            </w:r>
            <w:r>
              <w:rPr>
                <w:rFonts w:hint="eastAsia" w:ascii="宋体" w:hAnsi="宋体" w:eastAsia="宋体" w:cs="宋体"/>
                <w:bCs/>
                <w:kern w:val="2"/>
                <w:sz w:val="24"/>
                <w:szCs w:val="24"/>
                <w:highlight w:val="none"/>
                <w:lang w:val="en-US" w:eastAsia="zh-CN" w:bidi="ar"/>
              </w:rPr>
              <w:t>年，租金一年一付（不含税），先付后用，</w:t>
            </w:r>
            <w:r>
              <w:rPr>
                <w:rFonts w:hint="eastAsia" w:ascii="宋体" w:hAnsi="宋体" w:cs="宋体"/>
                <w:bCs/>
                <w:kern w:val="2"/>
                <w:sz w:val="24"/>
                <w:szCs w:val="24"/>
                <w:highlight w:val="none"/>
                <w:lang w:val="en-US" w:eastAsia="zh-CN" w:bidi="ar"/>
              </w:rPr>
              <w:t>租赁期内</w:t>
            </w:r>
            <w:r>
              <w:rPr>
                <w:rFonts w:hint="eastAsia" w:ascii="宋体" w:hAnsi="宋体" w:eastAsia="宋体" w:cs="宋体"/>
                <w:bCs/>
                <w:kern w:val="2"/>
                <w:sz w:val="24"/>
                <w:szCs w:val="24"/>
                <w:highlight w:val="none"/>
                <w:lang w:val="en-US" w:eastAsia="zh-CN" w:bidi="ar"/>
              </w:rPr>
              <w:t>租金</w:t>
            </w:r>
            <w:r>
              <w:rPr>
                <w:rFonts w:hint="eastAsia" w:ascii="宋体" w:hAnsi="宋体" w:cs="宋体"/>
                <w:bCs/>
                <w:kern w:val="2"/>
                <w:sz w:val="24"/>
                <w:szCs w:val="24"/>
                <w:highlight w:val="none"/>
                <w:lang w:val="en-US" w:eastAsia="zh-CN" w:bidi="ar"/>
              </w:rPr>
              <w:t>不</w:t>
            </w:r>
            <w:r>
              <w:rPr>
                <w:rFonts w:hint="eastAsia" w:ascii="宋体" w:hAnsi="宋体" w:eastAsia="宋体" w:cs="宋体"/>
                <w:bCs/>
                <w:kern w:val="2"/>
                <w:sz w:val="24"/>
                <w:szCs w:val="24"/>
                <w:highlight w:val="none"/>
                <w:lang w:val="en-US" w:eastAsia="zh-CN" w:bidi="ar"/>
              </w:rPr>
              <w:t>递增，下一年度租金需在上一年度到期前30天内付清</w:t>
            </w:r>
            <w:r>
              <w:rPr>
                <w:rFonts w:hint="eastAsia" w:ascii="宋体" w:hAnsi="宋体" w:cs="宋体"/>
                <w:bCs/>
                <w:kern w:val="2"/>
                <w:sz w:val="24"/>
                <w:szCs w:val="24"/>
                <w:highlight w:val="none"/>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上庄村租赁项目（标的编号）</w:t>
      </w:r>
      <w:r>
        <w:rPr>
          <w:rFonts w:hint="eastAsia" w:ascii="宋体" w:hAnsi="宋体" w:eastAsia="宋体" w:cs="Times New Roman"/>
          <w:b/>
          <w:bCs/>
          <w:color w:val="auto"/>
          <w:sz w:val="24"/>
          <w:szCs w:val="24"/>
          <w:u w:val="none"/>
          <w:lang w:val="en-US" w:eastAsia="zh-CN"/>
        </w:rPr>
        <w:t>。</w:t>
      </w:r>
    </w:p>
    <w:p w14:paraId="2E77732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租赁履约保证金为年租金成交价的10%（取整数）/标的。</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27</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w:t>
      </w:r>
      <w:r>
        <w:rPr>
          <w:rFonts w:hint="eastAsia" w:ascii="宋体" w:hAnsi="宋体" w:cs="宋体"/>
          <w:b w:val="0"/>
          <w:bCs w:val="0"/>
          <w:color w:val="auto"/>
          <w:kern w:val="0"/>
          <w:sz w:val="24"/>
          <w:szCs w:val="24"/>
          <w:highlight w:val="none"/>
          <w:u w:val="none"/>
          <w:lang w:val="en-US" w:eastAsia="zh-CN"/>
        </w:rPr>
        <w:t>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897" w:firstLineChars="203"/>
        <w:jc w:val="right"/>
        <w:textAlignment w:val="auto"/>
        <w:rPr>
          <w:rFonts w:hint="eastAsia" w:ascii="宋体" w:hAnsi="宋体" w:cs="Times New Roman"/>
          <w:color w:val="auto"/>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350520</wp:posOffset>
            </wp:positionH>
            <wp:positionV relativeFrom="paragraph">
              <wp:posOffset>140335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温州市龙湾区蒲州街道上庄村集体经济组织</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2026年5月21日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2026年5月21日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2026年5月28日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cs="Times New Roman"/>
          <w:kern w:val="2"/>
          <w:sz w:val="24"/>
          <w:szCs w:val="24"/>
          <w:lang w:val="en-US" w:eastAsia="zh-CN" w:bidi="ar"/>
        </w:rPr>
        <w:t>6</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温州市龙湾区蒲州街道上庄村集体经济组织</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71"/>
        <w:gridCol w:w="3925"/>
        <w:gridCol w:w="1202"/>
        <w:gridCol w:w="1335"/>
        <w:gridCol w:w="1724"/>
      </w:tblGrid>
      <w:tr w14:paraId="24398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579" w:type="pct"/>
            <w:tcBorders>
              <w:top w:val="single" w:color="000000" w:sz="4" w:space="0"/>
              <w:left w:val="single" w:color="auto" w:sz="4" w:space="0"/>
              <w:bottom w:val="single" w:color="000000" w:sz="4" w:space="0"/>
              <w:right w:val="single" w:color="000000" w:sz="4" w:space="0"/>
            </w:tcBorders>
            <w:noWrap w:val="0"/>
            <w:vAlign w:val="center"/>
          </w:tcPr>
          <w:p w14:paraId="6A29C27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标的</w:t>
            </w:r>
          </w:p>
          <w:p w14:paraId="17AAAEF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编号</w:t>
            </w:r>
          </w:p>
        </w:tc>
        <w:tc>
          <w:tcPr>
            <w:tcW w:w="2120" w:type="pct"/>
            <w:tcBorders>
              <w:top w:val="single" w:color="000000" w:sz="4" w:space="0"/>
              <w:left w:val="single" w:color="000000" w:sz="4" w:space="0"/>
              <w:bottom w:val="single" w:color="000000" w:sz="4" w:space="0"/>
              <w:right w:val="single" w:color="000000" w:sz="4" w:space="0"/>
            </w:tcBorders>
            <w:noWrap w:val="0"/>
            <w:vAlign w:val="center"/>
          </w:tcPr>
          <w:p w14:paraId="208FCD9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14:paraId="2264B0E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721" w:type="pct"/>
            <w:tcBorders>
              <w:top w:val="single" w:color="000000" w:sz="4" w:space="0"/>
              <w:left w:val="nil"/>
              <w:bottom w:val="single" w:color="000000" w:sz="4" w:space="0"/>
              <w:right w:val="single" w:color="auto" w:sz="4" w:space="0"/>
            </w:tcBorders>
            <w:noWrap w:val="0"/>
            <w:vAlign w:val="center"/>
          </w:tcPr>
          <w:p w14:paraId="793D6F4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7CC9C95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930" w:type="pct"/>
            <w:tcBorders>
              <w:top w:val="single" w:color="000000" w:sz="4" w:space="0"/>
              <w:left w:val="nil"/>
              <w:bottom w:val="single" w:color="000000" w:sz="4" w:space="0"/>
              <w:right w:val="single" w:color="auto" w:sz="4" w:space="0"/>
            </w:tcBorders>
            <w:noWrap w:val="0"/>
            <w:vAlign w:val="center"/>
          </w:tcPr>
          <w:p w14:paraId="3C00320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竞价</w:t>
            </w:r>
          </w:p>
          <w:p w14:paraId="19EB02C0">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保证金</w:t>
            </w:r>
          </w:p>
        </w:tc>
      </w:tr>
      <w:tr w14:paraId="1FE29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579" w:type="pct"/>
            <w:tcBorders>
              <w:top w:val="single" w:color="000000" w:sz="4" w:space="0"/>
              <w:left w:val="single" w:color="auto" w:sz="4" w:space="0"/>
              <w:right w:val="single" w:color="000000" w:sz="4" w:space="0"/>
            </w:tcBorders>
            <w:noWrap w:val="0"/>
            <w:vAlign w:val="center"/>
          </w:tcPr>
          <w:p w14:paraId="4249832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1</w:t>
            </w:r>
          </w:p>
        </w:tc>
        <w:tc>
          <w:tcPr>
            <w:tcW w:w="2120" w:type="pct"/>
            <w:tcBorders>
              <w:top w:val="single" w:color="000000" w:sz="4" w:space="0"/>
              <w:left w:val="single" w:color="000000" w:sz="4" w:space="0"/>
              <w:right w:val="single" w:color="000000" w:sz="4" w:space="0"/>
            </w:tcBorders>
            <w:noWrap w:val="0"/>
            <w:vAlign w:val="center"/>
          </w:tcPr>
          <w:p w14:paraId="1513A94F">
            <w:pPr>
              <w:spacing w:line="320" w:lineRule="exact"/>
              <w:jc w:val="center"/>
              <w:rPr>
                <w:rFonts w:hint="eastAsia" w:ascii="宋体" w:hAnsi="宋体" w:eastAsia="宋体" w:cs="宋体"/>
                <w:bCs/>
                <w:kern w:val="2"/>
                <w:sz w:val="24"/>
                <w:szCs w:val="24"/>
                <w:highlight w:val="none"/>
              </w:rPr>
            </w:pPr>
            <w:r>
              <w:rPr>
                <w:rFonts w:hint="eastAsia" w:asciiTheme="minorEastAsia" w:hAnsiTheme="minorEastAsia" w:eastAsiaTheme="minorEastAsia" w:cstheme="minorEastAsia"/>
                <w:bCs/>
                <w:sz w:val="24"/>
                <w:szCs w:val="24"/>
                <w:highlight w:val="none"/>
                <w:lang w:val="en-US" w:eastAsia="zh-CN"/>
              </w:rPr>
              <w:t>温州市龙湾区</w:t>
            </w:r>
            <w:r>
              <w:rPr>
                <w:rFonts w:hint="eastAsia" w:asciiTheme="minorEastAsia" w:hAnsiTheme="minorEastAsia" w:cstheme="minorEastAsia"/>
                <w:bCs/>
                <w:sz w:val="24"/>
                <w:szCs w:val="24"/>
                <w:highlight w:val="none"/>
                <w:lang w:val="en-US" w:eastAsia="zh-CN"/>
              </w:rPr>
              <w:t>蒲州街道上庄村上庄南路128号三</w:t>
            </w:r>
            <w:r>
              <w:rPr>
                <w:rFonts w:hint="eastAsia" w:asciiTheme="minorEastAsia" w:hAnsiTheme="minorEastAsia" w:eastAsiaTheme="minorEastAsia" w:cstheme="minorEastAsia"/>
                <w:bCs/>
                <w:sz w:val="24"/>
                <w:szCs w:val="24"/>
                <w:highlight w:val="none"/>
                <w:lang w:val="en-US" w:eastAsia="zh-CN"/>
              </w:rPr>
              <w:t>年租赁权</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14:paraId="466B6F40">
            <w:pPr>
              <w:spacing w:line="320" w:lineRule="exact"/>
              <w:jc w:val="center"/>
              <w:rPr>
                <w:rFonts w:hint="eastAsia" w:ascii="宋体" w:hAnsi="宋体" w:eastAsia="宋体" w:cs="宋体"/>
                <w:bCs/>
                <w:kern w:val="2"/>
                <w:sz w:val="24"/>
                <w:szCs w:val="24"/>
                <w:highlight w:val="none"/>
              </w:rPr>
            </w:pPr>
            <w:r>
              <w:rPr>
                <w:rFonts w:hint="eastAsia" w:asciiTheme="minorEastAsia" w:hAnsiTheme="minorEastAsia" w:cstheme="minorEastAsia"/>
                <w:bCs/>
                <w:kern w:val="2"/>
                <w:sz w:val="24"/>
                <w:szCs w:val="24"/>
                <w:highlight w:val="none"/>
                <w:lang w:val="en-US" w:eastAsia="zh-CN" w:bidi="ar-SA"/>
              </w:rPr>
              <w:t>约25㎡</w:t>
            </w:r>
          </w:p>
        </w:tc>
        <w:tc>
          <w:tcPr>
            <w:tcW w:w="721" w:type="pct"/>
            <w:tcBorders>
              <w:top w:val="single" w:color="000000" w:sz="4" w:space="0"/>
              <w:left w:val="nil"/>
              <w:right w:val="single" w:color="auto" w:sz="4" w:space="0"/>
            </w:tcBorders>
            <w:noWrap w:val="0"/>
            <w:vAlign w:val="center"/>
          </w:tcPr>
          <w:p w14:paraId="3B8733E4">
            <w:pPr>
              <w:keepNext w:val="0"/>
              <w:keepLines w:val="0"/>
              <w:widowControl/>
              <w:suppressLineNumbers w:val="0"/>
              <w:jc w:val="center"/>
              <w:textAlignment w:val="center"/>
              <w:rPr>
                <w:rFonts w:hint="default" w:asciiTheme="minorEastAsia" w:hAnsiTheme="minorEastAsia" w:cstheme="minorEastAsia"/>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15747</w:t>
            </w:r>
            <w:r>
              <w:rPr>
                <w:rFonts w:hint="eastAsia" w:ascii="宋体" w:hAnsi="宋体" w:cs="宋体"/>
                <w:i w:val="0"/>
                <w:iCs w:val="0"/>
                <w:color w:val="000000"/>
                <w:kern w:val="0"/>
                <w:sz w:val="24"/>
                <w:szCs w:val="24"/>
                <w:u w:val="none"/>
                <w:lang w:val="en-US" w:eastAsia="zh-CN" w:bidi="ar"/>
              </w:rPr>
              <w:t>元</w:t>
            </w:r>
          </w:p>
        </w:tc>
        <w:tc>
          <w:tcPr>
            <w:tcW w:w="930" w:type="pct"/>
            <w:tcBorders>
              <w:top w:val="single" w:color="000000" w:sz="4" w:space="0"/>
              <w:left w:val="nil"/>
              <w:right w:val="single" w:color="auto" w:sz="4" w:space="0"/>
            </w:tcBorders>
            <w:shd w:val="clear" w:color="auto" w:fill="auto"/>
            <w:noWrap w:val="0"/>
            <w:vAlign w:val="center"/>
          </w:tcPr>
          <w:p w14:paraId="7173C70A">
            <w:pPr>
              <w:spacing w:line="320" w:lineRule="exact"/>
              <w:jc w:val="center"/>
              <w:rPr>
                <w:rFonts w:hint="eastAsia" w:eastAsia="宋体" w:asciiTheme="minorEastAsia" w:hAnsiTheme="minorEastAsia" w:cstheme="minorEastAsia"/>
                <w:kern w:val="2"/>
                <w:sz w:val="24"/>
                <w:szCs w:val="24"/>
                <w:highlight w:val="none"/>
                <w:lang w:val="en-US" w:eastAsia="zh-CN" w:bidi="ar-SA"/>
              </w:rPr>
            </w:pPr>
            <w:r>
              <w:rPr>
                <w:rFonts w:hint="eastAsia" w:asciiTheme="minorEastAsia" w:hAnsiTheme="minorEastAsia" w:cstheme="minorEastAsia"/>
                <w:kern w:val="2"/>
                <w:sz w:val="24"/>
                <w:szCs w:val="24"/>
                <w:highlight w:val="none"/>
                <w:lang w:val="en-US" w:eastAsia="zh-CN" w:bidi="ar-SA"/>
              </w:rPr>
              <w:t>1万元</w:t>
            </w:r>
          </w:p>
        </w:tc>
      </w:tr>
      <w:tr w14:paraId="6745C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579" w:type="pct"/>
            <w:tcBorders>
              <w:top w:val="single" w:color="000000" w:sz="4" w:space="0"/>
              <w:left w:val="single" w:color="auto" w:sz="4" w:space="0"/>
              <w:right w:val="single" w:color="000000" w:sz="4" w:space="0"/>
            </w:tcBorders>
            <w:noWrap w:val="0"/>
            <w:vAlign w:val="center"/>
          </w:tcPr>
          <w:p w14:paraId="790A2E87">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p>
        </w:tc>
        <w:tc>
          <w:tcPr>
            <w:tcW w:w="2120" w:type="pct"/>
            <w:tcBorders>
              <w:top w:val="single" w:color="000000" w:sz="4" w:space="0"/>
              <w:left w:val="single" w:color="000000" w:sz="4" w:space="0"/>
              <w:right w:val="single" w:color="000000" w:sz="4" w:space="0"/>
            </w:tcBorders>
            <w:noWrap w:val="0"/>
            <w:vAlign w:val="center"/>
          </w:tcPr>
          <w:p w14:paraId="5BE1D9AA">
            <w:pPr>
              <w:spacing w:line="320" w:lineRule="exact"/>
              <w:jc w:val="center"/>
              <w:rPr>
                <w:rFonts w:hint="eastAsia" w:ascii="宋体" w:hAnsi="宋体" w:eastAsia="宋体" w:cs="Times New Roman"/>
                <w:bCs/>
                <w:color w:val="auto"/>
                <w:sz w:val="24"/>
                <w:szCs w:val="24"/>
                <w:highlight w:val="none"/>
                <w:u w:val="none"/>
                <w:shd w:val="clear" w:color="auto" w:fill="FFFFFF"/>
                <w:lang w:val="en-US" w:eastAsia="zh-CN"/>
              </w:rPr>
            </w:pPr>
            <w:r>
              <w:rPr>
                <w:rFonts w:hint="eastAsia" w:asciiTheme="minorEastAsia" w:hAnsiTheme="minorEastAsia" w:eastAsiaTheme="minorEastAsia" w:cstheme="minorEastAsia"/>
                <w:bCs/>
                <w:sz w:val="24"/>
                <w:szCs w:val="24"/>
                <w:highlight w:val="none"/>
                <w:lang w:val="en-US" w:eastAsia="zh-CN"/>
              </w:rPr>
              <w:t>温州市龙湾区</w:t>
            </w:r>
            <w:r>
              <w:rPr>
                <w:rFonts w:hint="eastAsia" w:asciiTheme="minorEastAsia" w:hAnsiTheme="minorEastAsia" w:cstheme="minorEastAsia"/>
                <w:bCs/>
                <w:sz w:val="24"/>
                <w:szCs w:val="24"/>
                <w:highlight w:val="none"/>
                <w:lang w:val="en-US" w:eastAsia="zh-CN"/>
              </w:rPr>
              <w:t>蒲州街道上庄村上庄北岸乐园一间店面三</w:t>
            </w:r>
            <w:r>
              <w:rPr>
                <w:rFonts w:hint="eastAsia" w:asciiTheme="minorEastAsia" w:hAnsiTheme="minorEastAsia" w:eastAsiaTheme="minorEastAsia" w:cstheme="minorEastAsia"/>
                <w:bCs/>
                <w:sz w:val="24"/>
                <w:szCs w:val="24"/>
                <w:highlight w:val="none"/>
                <w:lang w:val="en-US" w:eastAsia="zh-CN"/>
              </w:rPr>
              <w:t>年租赁权</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14:paraId="783B77E2">
            <w:pPr>
              <w:spacing w:line="320" w:lineRule="exact"/>
              <w:jc w:val="center"/>
              <w:rPr>
                <w:rFonts w:hint="eastAsia" w:ascii="宋体" w:hAnsi="宋体" w:eastAsia="宋体" w:cs="宋体"/>
                <w:bCs/>
                <w:kern w:val="2"/>
                <w:sz w:val="24"/>
                <w:szCs w:val="24"/>
                <w:highlight w:val="none"/>
                <w:lang w:val="en-US" w:eastAsia="zh-CN"/>
              </w:rPr>
            </w:pPr>
            <w:r>
              <w:rPr>
                <w:rFonts w:hint="eastAsia" w:asciiTheme="minorEastAsia" w:hAnsiTheme="minorEastAsia" w:cstheme="minorEastAsia"/>
                <w:bCs/>
                <w:kern w:val="2"/>
                <w:sz w:val="24"/>
                <w:szCs w:val="24"/>
                <w:highlight w:val="none"/>
                <w:lang w:val="en-US" w:eastAsia="zh-CN" w:bidi="ar-SA"/>
              </w:rPr>
              <w:t>约15㎡</w:t>
            </w:r>
          </w:p>
        </w:tc>
        <w:tc>
          <w:tcPr>
            <w:tcW w:w="721" w:type="pct"/>
            <w:tcBorders>
              <w:top w:val="single" w:color="000000" w:sz="4" w:space="0"/>
              <w:left w:val="nil"/>
              <w:right w:val="single" w:color="auto" w:sz="4" w:space="0"/>
            </w:tcBorders>
            <w:noWrap w:val="0"/>
            <w:vAlign w:val="center"/>
          </w:tcPr>
          <w:p w14:paraId="4889B87E">
            <w:pPr>
              <w:keepNext w:val="0"/>
              <w:keepLines w:val="0"/>
              <w:widowControl/>
              <w:suppressLineNumbers w:val="0"/>
              <w:jc w:val="center"/>
              <w:textAlignment w:val="center"/>
              <w:rPr>
                <w:rFonts w:hint="default" w:asciiTheme="minorEastAsia" w:hAnsiTheme="minorEastAsia" w:cstheme="minorEastAsia"/>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5905</w:t>
            </w:r>
            <w:r>
              <w:rPr>
                <w:rFonts w:hint="eastAsia" w:ascii="宋体" w:hAnsi="宋体" w:cs="宋体"/>
                <w:i w:val="0"/>
                <w:iCs w:val="0"/>
                <w:color w:val="000000"/>
                <w:kern w:val="0"/>
                <w:sz w:val="24"/>
                <w:szCs w:val="24"/>
                <w:u w:val="none"/>
                <w:lang w:val="en-US" w:eastAsia="zh-CN" w:bidi="ar"/>
              </w:rPr>
              <w:t>元</w:t>
            </w:r>
          </w:p>
        </w:tc>
        <w:tc>
          <w:tcPr>
            <w:tcW w:w="930" w:type="pct"/>
            <w:tcBorders>
              <w:top w:val="single" w:color="000000" w:sz="4" w:space="0"/>
              <w:left w:val="nil"/>
              <w:right w:val="single" w:color="auto" w:sz="4" w:space="0"/>
            </w:tcBorders>
            <w:shd w:val="clear" w:color="auto" w:fill="auto"/>
            <w:noWrap w:val="0"/>
            <w:vAlign w:val="center"/>
          </w:tcPr>
          <w:p w14:paraId="55B6F8B7">
            <w:pPr>
              <w:spacing w:line="320" w:lineRule="exact"/>
              <w:jc w:val="center"/>
              <w:rPr>
                <w:rFonts w:hint="eastAsia" w:eastAsia="宋体" w:asciiTheme="minorEastAsia" w:hAnsiTheme="minorEastAsia" w:cstheme="minorEastAsia"/>
                <w:kern w:val="2"/>
                <w:sz w:val="24"/>
                <w:szCs w:val="24"/>
                <w:highlight w:val="none"/>
                <w:lang w:val="en-US" w:eastAsia="zh-CN" w:bidi="ar-SA"/>
              </w:rPr>
            </w:pPr>
            <w:r>
              <w:rPr>
                <w:rFonts w:hint="eastAsia" w:asciiTheme="minorEastAsia" w:hAnsiTheme="minorEastAsia" w:cstheme="minorEastAsia"/>
                <w:kern w:val="2"/>
                <w:sz w:val="24"/>
                <w:szCs w:val="24"/>
                <w:highlight w:val="none"/>
                <w:lang w:val="en-US" w:eastAsia="zh-CN" w:bidi="ar-SA"/>
              </w:rPr>
              <w:t>5000元</w:t>
            </w:r>
          </w:p>
        </w:tc>
      </w:tr>
      <w:tr w14:paraId="40B38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0" w:hRule="atLeast"/>
          <w:jc w:val="center"/>
        </w:trPr>
        <w:tc>
          <w:tcPr>
            <w:tcW w:w="5000" w:type="pct"/>
            <w:gridSpan w:val="5"/>
            <w:tcBorders>
              <w:top w:val="single" w:color="000000" w:sz="4" w:space="0"/>
              <w:left w:val="single" w:color="auto" w:sz="4" w:space="0"/>
              <w:bottom w:val="single" w:color="000000" w:sz="4" w:space="0"/>
              <w:right w:val="single" w:color="auto" w:sz="4" w:space="0"/>
            </w:tcBorders>
            <w:noWrap w:val="0"/>
            <w:vAlign w:val="center"/>
          </w:tcPr>
          <w:p w14:paraId="106572E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ind w:left="0" w:right="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注：租期</w:t>
            </w:r>
            <w:r>
              <w:rPr>
                <w:rFonts w:hint="eastAsia" w:ascii="宋体" w:hAnsi="宋体" w:cs="宋体"/>
                <w:bCs/>
                <w:kern w:val="2"/>
                <w:sz w:val="24"/>
                <w:szCs w:val="24"/>
                <w:highlight w:val="none"/>
                <w:lang w:val="en-US" w:eastAsia="zh-CN" w:bidi="ar"/>
              </w:rPr>
              <w:t>三</w:t>
            </w:r>
            <w:r>
              <w:rPr>
                <w:rFonts w:hint="eastAsia" w:ascii="宋体" w:hAnsi="宋体" w:eastAsia="宋体" w:cs="宋体"/>
                <w:bCs/>
                <w:kern w:val="2"/>
                <w:sz w:val="24"/>
                <w:szCs w:val="24"/>
                <w:highlight w:val="none"/>
                <w:lang w:val="en-US" w:eastAsia="zh-CN" w:bidi="ar"/>
              </w:rPr>
              <w:t>年，租金一年一付（不含税），先付后用，</w:t>
            </w:r>
            <w:r>
              <w:rPr>
                <w:rFonts w:hint="eastAsia" w:ascii="宋体" w:hAnsi="宋体" w:cs="宋体"/>
                <w:bCs/>
                <w:kern w:val="2"/>
                <w:sz w:val="24"/>
                <w:szCs w:val="24"/>
                <w:highlight w:val="none"/>
                <w:lang w:val="en-US" w:eastAsia="zh-CN" w:bidi="ar"/>
              </w:rPr>
              <w:t>租赁期内</w:t>
            </w:r>
            <w:r>
              <w:rPr>
                <w:rFonts w:hint="eastAsia" w:ascii="宋体" w:hAnsi="宋体" w:eastAsia="宋体" w:cs="宋体"/>
                <w:bCs/>
                <w:kern w:val="2"/>
                <w:sz w:val="24"/>
                <w:szCs w:val="24"/>
                <w:highlight w:val="none"/>
                <w:lang w:val="en-US" w:eastAsia="zh-CN" w:bidi="ar"/>
              </w:rPr>
              <w:t>租金</w:t>
            </w:r>
            <w:r>
              <w:rPr>
                <w:rFonts w:hint="eastAsia" w:ascii="宋体" w:hAnsi="宋体" w:cs="宋体"/>
                <w:bCs/>
                <w:kern w:val="2"/>
                <w:sz w:val="24"/>
                <w:szCs w:val="24"/>
                <w:highlight w:val="none"/>
                <w:lang w:val="en-US" w:eastAsia="zh-CN" w:bidi="ar"/>
              </w:rPr>
              <w:t>不</w:t>
            </w:r>
            <w:r>
              <w:rPr>
                <w:rFonts w:hint="eastAsia" w:ascii="宋体" w:hAnsi="宋体" w:eastAsia="宋体" w:cs="宋体"/>
                <w:bCs/>
                <w:kern w:val="2"/>
                <w:sz w:val="24"/>
                <w:szCs w:val="24"/>
                <w:highlight w:val="none"/>
                <w:lang w:val="en-US" w:eastAsia="zh-CN" w:bidi="ar"/>
              </w:rPr>
              <w:t>递增，下一年度租金需在上一年度到期前30天内付清</w:t>
            </w:r>
            <w:r>
              <w:rPr>
                <w:rFonts w:hint="eastAsia" w:ascii="宋体" w:hAnsi="宋体" w:cs="宋体"/>
                <w:bCs/>
                <w:kern w:val="2"/>
                <w:sz w:val="24"/>
                <w:szCs w:val="24"/>
                <w:highlight w:val="none"/>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181610</wp:posOffset>
            </wp:positionH>
            <wp:positionV relativeFrom="paragraph">
              <wp:posOffset>-4398010</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181610</wp:posOffset>
            </wp:positionH>
            <wp:positionV relativeFrom="paragraph">
              <wp:posOffset>264160</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3年租金总额，采用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w:t>
      </w:r>
      <w:r>
        <w:rPr>
          <w:rFonts w:hint="eastAsia" w:ascii="宋体" w:hAnsi="宋体"/>
          <w:b/>
          <w:bCs/>
          <w:sz w:val="24"/>
          <w:szCs w:val="24"/>
        </w:rPr>
        <w:t>租赁税</w:t>
      </w:r>
      <w:r>
        <w:rPr>
          <w:rFonts w:hint="eastAsia" w:ascii="宋体" w:hAnsi="宋体"/>
          <w:sz w:val="24"/>
          <w:szCs w:val="24"/>
        </w:rPr>
        <w:t>等一切税、费均由承租人承担并自行结算（含出租人因租赁关系需向税务等有关部门缴纳的一切税费）。</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237490</wp:posOffset>
            </wp:positionH>
            <wp:positionV relativeFrom="paragraph">
              <wp:posOffset>-2281555</wp:posOffset>
            </wp:positionV>
            <wp:extent cx="5271770" cy="5833110"/>
            <wp:effectExtent l="0" t="0" r="5080" b="15240"/>
            <wp:wrapNone/>
            <wp:docPr id="1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2026年5月21日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2026年5月28日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 xml:space="preserve">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租金（不含税）一年一付，先付后用，租赁期内租金不递增</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cs="Times New Roman"/>
          <w:color w:val="auto"/>
          <w:kern w:val="2"/>
          <w:sz w:val="24"/>
          <w:szCs w:val="20"/>
          <w:highlight w:val="none"/>
          <w:u w:val="none"/>
          <w:lang w:val="en-US" w:eastAsia="zh-CN" w:bidi="ar-SA"/>
        </w:rPr>
        <w:t>2026年6月4日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具体租赁事项以竞得人与温州市龙湾区蒲州街道上庄村集体经济组织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2026年6月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488315</wp:posOffset>
            </wp:positionH>
            <wp:positionV relativeFrom="paragraph">
              <wp:posOffset>179070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温州市龙湾区蒲州街道上庄村集体经济组织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4.</w:t>
      </w:r>
      <w:r>
        <w:rPr>
          <w:rFonts w:hint="eastAsia" w:ascii="宋体" w:hAnsi="宋体" w:cs="宋体"/>
          <w:color w:val="auto"/>
          <w:kern w:val="0"/>
          <w:szCs w:val="24"/>
          <w:highlight w:val="none"/>
          <w:u w:val="single"/>
          <w:lang w:val="en-US" w:eastAsia="zh-CN"/>
        </w:rPr>
        <w:t>租赁期内租金不变，租金一年一付，先付后用，下期租金应在上期租赁期限届满前30天内付清。</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（二）租金不含税，甲方收齐首年租金后向乙方开具租金发票，租赁税等一切租赁期间产生的税、费均由乙方承担并结算(含甲方因租赁关系需向税务等有关部门缴纳的一切税费)</w:t>
      </w:r>
      <w:r>
        <w:rPr>
          <w:rFonts w:hint="eastAsia" w:ascii="宋体" w:hAnsi="宋体" w:cs="宋体"/>
          <w:color w:val="auto"/>
          <w:szCs w:val="24"/>
          <w:highlight w:val="none"/>
        </w:rPr>
        <w:t>。</w:t>
      </w:r>
    </w:p>
    <w:p w14:paraId="04DF01B1">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w:t>
      </w:r>
      <w:r>
        <w:rPr>
          <w:rFonts w:hint="eastAsia" w:ascii="宋体" w:hAnsi="宋体" w:cs="宋体"/>
          <w:color w:val="auto"/>
          <w:szCs w:val="24"/>
          <w:highlight w:val="none"/>
        </w:rPr>
        <w:t>履约保证金为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元（大写：人民币</w:t>
      </w:r>
      <w:r>
        <w:rPr>
          <w:rFonts w:hint="eastAsia" w:ascii="宋体" w:hAnsi="宋体" w:cs="宋体"/>
          <w:color w:val="auto"/>
          <w:szCs w:val="24"/>
          <w:highlight w:val="none"/>
          <w:u w:val="single"/>
        </w:rPr>
        <w:t xml:space="preserve">       整</w:t>
      </w:r>
      <w:r>
        <w:rPr>
          <w:rFonts w:hint="eastAsia" w:ascii="宋体" w:hAnsi="宋体" w:cs="宋体"/>
          <w:color w:val="auto"/>
          <w:szCs w:val="24"/>
          <w:highlight w:val="none"/>
        </w:rPr>
        <w:t>），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val="0"/>
          <w:bCs w:val="0"/>
          <w:color w:val="auto"/>
          <w:sz w:val="24"/>
          <w:szCs w:val="24"/>
          <w:highlight w:val="none"/>
          <w:u w:val="non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875" w:firstLineChars="198"/>
        <w:jc w:val="left"/>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453390</wp:posOffset>
            </wp:positionH>
            <wp:positionV relativeFrom="paragraph">
              <wp:posOffset>212090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883" w:firstLineChars="200"/>
        <w:jc w:val="left"/>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294640</wp:posOffset>
            </wp:positionH>
            <wp:positionV relativeFrom="paragraph">
              <wp:posOffset>86995</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883" w:firstLineChars="200"/>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760095</wp:posOffset>
            </wp:positionH>
            <wp:positionV relativeFrom="paragraph">
              <wp:posOffset>111760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1FC5649B">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14812463">
      <w:pPr>
        <w:rPr>
          <w:rFonts w:hint="eastAsia"/>
        </w:rPr>
      </w:pPr>
    </w:p>
    <w:p w14:paraId="543A4917">
      <w:pPr>
        <w:pStyle w:val="3"/>
        <w:rPr>
          <w:rFonts w:hint="eastAsia"/>
        </w:rPr>
      </w:pPr>
    </w:p>
    <w:p w14:paraId="2DD94812">
      <w:pPr>
        <w:rPr>
          <w:rFonts w:hint="eastAsia"/>
        </w:rPr>
      </w:pPr>
    </w:p>
    <w:p w14:paraId="41950BD9">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r>
        <w:rPr>
          <w:sz w:val="21"/>
        </w:rPr>
        <mc:AlternateContent>
          <mc:Choice Requires="wps">
            <w:drawing>
              <wp:anchor distT="0" distB="0" distL="114300" distR="114300" simplePos="0" relativeHeight="251673600" behindDoc="0" locked="0" layoutInCell="1" allowOverlap="1">
                <wp:simplePos x="0" y="0"/>
                <wp:positionH relativeFrom="column">
                  <wp:posOffset>99695</wp:posOffset>
                </wp:positionH>
                <wp:positionV relativeFrom="paragraph">
                  <wp:posOffset>47625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7.85pt;margin-top:3.75pt;height:94.5pt;width:478.5pt;z-index:251673600;mso-width-relative:page;mso-height-relative:page;" fillcolor="#FFFFFF" filled="t" stroked="t" coordsize="21600,21600" o:gfxdata="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uF4IV0wAAAAgBAAAPAAAAAAAAAAEAIAAAACIAAABkcnMv&#10;ZG93bnJldi54bWxQSwECFAAUAAAACACHTuJA/qn74kECAADABAAADgAAAAAAAAABACAAAAAiAQAA&#10;ZHJzL2Uyb0RvYy54bWxQSwUGAAAAAAYABgBZAQAA1QU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p>
    <w:p w14:paraId="1AA3D89D"/>
    <w:p w14:paraId="54CE86DC"/>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53F4826"/>
    <w:rsid w:val="05773E49"/>
    <w:rsid w:val="06092268"/>
    <w:rsid w:val="0A9C071B"/>
    <w:rsid w:val="0B57681E"/>
    <w:rsid w:val="0FFC1742"/>
    <w:rsid w:val="137A57A0"/>
    <w:rsid w:val="137F6218"/>
    <w:rsid w:val="145C30F7"/>
    <w:rsid w:val="14734CB8"/>
    <w:rsid w:val="15316332"/>
    <w:rsid w:val="158116C5"/>
    <w:rsid w:val="1797031B"/>
    <w:rsid w:val="180F7322"/>
    <w:rsid w:val="181B7855"/>
    <w:rsid w:val="18B67897"/>
    <w:rsid w:val="1A5341C0"/>
    <w:rsid w:val="1B43776B"/>
    <w:rsid w:val="1B871827"/>
    <w:rsid w:val="1C1E1BAB"/>
    <w:rsid w:val="1CB03DF7"/>
    <w:rsid w:val="1EF82139"/>
    <w:rsid w:val="1FB0010B"/>
    <w:rsid w:val="209061C6"/>
    <w:rsid w:val="217A29A9"/>
    <w:rsid w:val="22910D42"/>
    <w:rsid w:val="22974B03"/>
    <w:rsid w:val="22EF57B4"/>
    <w:rsid w:val="23A10665"/>
    <w:rsid w:val="24C30629"/>
    <w:rsid w:val="24FC6C21"/>
    <w:rsid w:val="251A0B90"/>
    <w:rsid w:val="262502D3"/>
    <w:rsid w:val="26F03C3F"/>
    <w:rsid w:val="2E443CD9"/>
    <w:rsid w:val="301138F8"/>
    <w:rsid w:val="312E1520"/>
    <w:rsid w:val="333D173D"/>
    <w:rsid w:val="3375264B"/>
    <w:rsid w:val="33C650BD"/>
    <w:rsid w:val="36676139"/>
    <w:rsid w:val="36716136"/>
    <w:rsid w:val="36D27916"/>
    <w:rsid w:val="37893554"/>
    <w:rsid w:val="3957222B"/>
    <w:rsid w:val="3A034EA8"/>
    <w:rsid w:val="3DEC4B39"/>
    <w:rsid w:val="405A7C3B"/>
    <w:rsid w:val="44727C49"/>
    <w:rsid w:val="46CF2C6D"/>
    <w:rsid w:val="46F52BC5"/>
    <w:rsid w:val="491D1E84"/>
    <w:rsid w:val="4B653631"/>
    <w:rsid w:val="4B7D3443"/>
    <w:rsid w:val="4E4B5067"/>
    <w:rsid w:val="4E6F4B7C"/>
    <w:rsid w:val="4E7E7CA6"/>
    <w:rsid w:val="4E8314AE"/>
    <w:rsid w:val="4F7F76BE"/>
    <w:rsid w:val="4F894E59"/>
    <w:rsid w:val="4FD57E9D"/>
    <w:rsid w:val="502344EE"/>
    <w:rsid w:val="54113319"/>
    <w:rsid w:val="548C0FD9"/>
    <w:rsid w:val="54971006"/>
    <w:rsid w:val="55631913"/>
    <w:rsid w:val="55832C1B"/>
    <w:rsid w:val="56731069"/>
    <w:rsid w:val="5943350B"/>
    <w:rsid w:val="594A0FC2"/>
    <w:rsid w:val="5A3D43FE"/>
    <w:rsid w:val="5A7B6781"/>
    <w:rsid w:val="5B3663E0"/>
    <w:rsid w:val="5C616110"/>
    <w:rsid w:val="5CB57990"/>
    <w:rsid w:val="5FDC6467"/>
    <w:rsid w:val="61B52ACC"/>
    <w:rsid w:val="624714FE"/>
    <w:rsid w:val="64963FE0"/>
    <w:rsid w:val="6555170B"/>
    <w:rsid w:val="66032CB1"/>
    <w:rsid w:val="67FD341E"/>
    <w:rsid w:val="69C70C11"/>
    <w:rsid w:val="6B835EC1"/>
    <w:rsid w:val="6CB111E1"/>
    <w:rsid w:val="6ECA7210"/>
    <w:rsid w:val="6ED918DD"/>
    <w:rsid w:val="6EDC3D8E"/>
    <w:rsid w:val="6EED57F2"/>
    <w:rsid w:val="6F2A2D4B"/>
    <w:rsid w:val="6F6165C3"/>
    <w:rsid w:val="6FC8405E"/>
    <w:rsid w:val="7072514B"/>
    <w:rsid w:val="71B3145A"/>
    <w:rsid w:val="721B4031"/>
    <w:rsid w:val="74FD05BA"/>
    <w:rsid w:val="75470D70"/>
    <w:rsid w:val="779276DF"/>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636</Words>
  <Characters>671</Characters>
  <Lines>0</Lines>
  <Paragraphs>0</Paragraphs>
  <TotalTime>2</TotalTime>
  <ScaleCrop>false</ScaleCrop>
  <LinksUpToDate>false</LinksUpToDate>
  <CharactersWithSpaces>679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张小叶</cp:lastModifiedBy>
  <cp:lastPrinted>2025-02-14T02:30:00Z</cp:lastPrinted>
  <dcterms:modified xsi:type="dcterms:W3CDTF">2026-05-21T00:49:37Z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49D0B0210A504A84BDECA4FDF3B548F7_13</vt:lpwstr>
  </property>
  <property fmtid="{D5CDD505-2E9C-101B-9397-08002B2CF9AE}" pid="4" name="KSOTemplateDocerSaveRecord">
    <vt:lpwstr>eyJoZGlkIjoiNzYzNDZhZmRmZjM0NWUxNmJiOWFiNDI5YTEzYzUxNmEiLCJ1c2VySWQiOiIxNTk0MDAzNDA5In0=</vt:lpwstr>
  </property>
</Properties>
</file>