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eastAsia="宋体"/>
          <w:b/>
          <w:color w:val="auto"/>
          <w:sz w:val="48"/>
          <w:lang w:val="en-US" w:eastAsia="zh-CN"/>
        </w:rPr>
      </w:pPr>
      <w:r>
        <w:rPr>
          <w:rFonts w:hint="eastAsia" w:ascii="宋体" w:hAnsi="宋体"/>
          <w:b/>
          <w:color w:val="auto"/>
          <w:sz w:val="48"/>
          <w:lang w:val="en-US" w:eastAsia="zh-CN"/>
        </w:rPr>
        <w:t xml:space="preserve"> </w:t>
      </w:r>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温州市龙湾区沙城街道烟台村工业区B</w:t>
      </w:r>
      <w:bookmarkStart w:id="1" w:name="_GoBack"/>
      <w:bookmarkEnd w:id="1"/>
      <w:r>
        <w:rPr>
          <w:rFonts w:hint="eastAsia" w:ascii="宋体" w:hAnsi="宋体" w:cs="宋体"/>
          <w:b/>
          <w:bCs/>
          <w:color w:val="000000" w:themeColor="text1"/>
          <w:sz w:val="36"/>
          <w:szCs w:val="36"/>
          <w:u w:val="none"/>
          <w:lang w:val="en-US" w:eastAsia="zh-CN"/>
          <w14:textFill>
            <w14:solidFill>
              <w14:schemeClr w14:val="tx1"/>
            </w14:solidFill>
          </w14:textFill>
        </w:rPr>
        <w:t>幢12-14号厂房租赁权（租期至2030年1月11日止）</w:t>
      </w:r>
      <w:r>
        <w:rPr>
          <w:rFonts w:hint="eastAsia" w:ascii="宋体" w:hAnsi="宋体"/>
          <w:b/>
          <w:bCs/>
          <w:color w:val="auto"/>
          <w:sz w:val="36"/>
          <w:szCs w:val="36"/>
          <w:lang w:val="en-US" w:eastAsia="zh-CN"/>
        </w:rPr>
        <w:t>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2026年6月2日</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温州市龙湾区沙城街道烟台村工业区B幢12-14号厂房租赁权（租期至2030年1月11日止）竞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w:t>
      </w:r>
      <w:r>
        <w:rPr>
          <w:rFonts w:hint="eastAsia" w:ascii="宋体" w:hAnsi="宋体"/>
          <w:color w:val="auto"/>
          <w:sz w:val="24"/>
          <w:szCs w:val="24"/>
          <w:u w:val="none"/>
          <w:lang w:eastAsia="zh-CN"/>
        </w:rPr>
        <w:t>2026年6月9日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10时</w:t>
      </w:r>
      <w:r>
        <w:rPr>
          <w:rFonts w:hint="eastAsia" w:ascii="宋体" w:hAnsi="宋体"/>
          <w:color w:val="auto"/>
          <w:sz w:val="24"/>
          <w:szCs w:val="24"/>
          <w:u w:val="none"/>
        </w:rPr>
        <w:t>至</w:t>
      </w:r>
      <w:r>
        <w:rPr>
          <w:rFonts w:hint="eastAsia" w:ascii="宋体" w:hAnsi="宋体"/>
          <w:color w:val="auto"/>
          <w:sz w:val="24"/>
          <w:szCs w:val="24"/>
          <w:u w:val="none"/>
          <w:lang w:val="en-US" w:eastAsia="zh-CN"/>
        </w:rPr>
        <w:t>2026年6月10日上午10时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olor w:val="auto"/>
          <w:sz w:val="24"/>
          <w:szCs w:val="24"/>
          <w:u w:val="none"/>
          <w:lang w:eastAsia="zh-CN"/>
        </w:rPr>
        <w:t>温州市龙湾区沙城街道烟台村工业区B幢12-14号厂房租赁权（租期至2030年1月11日止）</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26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13"/>
        <w:gridCol w:w="4395"/>
        <w:gridCol w:w="1536"/>
        <w:gridCol w:w="1717"/>
        <w:gridCol w:w="1520"/>
      </w:tblGrid>
      <w:tr w14:paraId="566C82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3" w:hRule="atLeast"/>
          <w:jc w:val="center"/>
        </w:trPr>
        <w:tc>
          <w:tcPr>
            <w:tcW w:w="361" w:type="pct"/>
            <w:tcBorders>
              <w:left w:val="single" w:color="auto" w:sz="4" w:space="0"/>
            </w:tcBorders>
            <w:noWrap w:val="0"/>
            <w:vAlign w:val="center"/>
          </w:tcPr>
          <w:p w14:paraId="24F8BF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标的编号</w:t>
            </w:r>
          </w:p>
        </w:tc>
        <w:tc>
          <w:tcPr>
            <w:tcW w:w="2224" w:type="pct"/>
            <w:noWrap w:val="0"/>
            <w:vAlign w:val="center"/>
          </w:tcPr>
          <w:p w14:paraId="1F8022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标的</w:t>
            </w: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概况</w:t>
            </w:r>
          </w:p>
        </w:tc>
        <w:tc>
          <w:tcPr>
            <w:tcW w:w="777" w:type="pct"/>
            <w:noWrap w:val="0"/>
            <w:vAlign w:val="center"/>
          </w:tcPr>
          <w:p w14:paraId="25FEA0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面积</w:t>
            </w:r>
          </w:p>
        </w:tc>
        <w:tc>
          <w:tcPr>
            <w:tcW w:w="869" w:type="pct"/>
            <w:tcBorders>
              <w:right w:val="single" w:color="auto" w:sz="4" w:space="0"/>
            </w:tcBorders>
            <w:noWrap w:val="0"/>
            <w:vAlign w:val="center"/>
          </w:tcPr>
          <w:p w14:paraId="5A36D4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eastAsiaTheme="minorEastAsia" w:cstheme="minorEastAsia"/>
                <w:b/>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年租金起始价</w:t>
            </w:r>
          </w:p>
        </w:tc>
        <w:tc>
          <w:tcPr>
            <w:tcW w:w="766" w:type="pct"/>
            <w:tcBorders>
              <w:right w:val="single" w:color="auto" w:sz="4" w:space="0"/>
            </w:tcBorders>
            <w:noWrap w:val="0"/>
            <w:vAlign w:val="center"/>
          </w:tcPr>
          <w:p w14:paraId="3EE5F4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eastAsiaTheme="minorEastAsia" w:cstheme="minorEastAsia"/>
                <w:b/>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交易保证金</w:t>
            </w:r>
          </w:p>
        </w:tc>
      </w:tr>
      <w:tr w14:paraId="6D3D25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4" w:hRule="atLeast"/>
          <w:jc w:val="center"/>
        </w:trPr>
        <w:tc>
          <w:tcPr>
            <w:tcW w:w="361" w:type="pct"/>
            <w:tcBorders>
              <w:left w:val="single" w:color="auto" w:sz="4" w:space="0"/>
            </w:tcBorders>
            <w:noWrap w:val="0"/>
            <w:vAlign w:val="center"/>
          </w:tcPr>
          <w:p w14:paraId="7018FBE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1</w:t>
            </w:r>
          </w:p>
        </w:tc>
        <w:tc>
          <w:tcPr>
            <w:tcW w:w="2224" w:type="pct"/>
            <w:noWrap w:val="0"/>
            <w:vAlign w:val="center"/>
          </w:tcPr>
          <w:p w14:paraId="0568D907">
            <w:pPr>
              <w:spacing w:line="300" w:lineRule="exact"/>
              <w:jc w:val="cente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宋体" w:hAnsi="宋体" w:eastAsia="宋体" w:cs="宋体"/>
                <w:bCs/>
                <w:kern w:val="2"/>
                <w:sz w:val="24"/>
                <w:szCs w:val="24"/>
                <w:highlight w:val="none"/>
                <w:u w:val="none"/>
                <w:lang w:val="en-US" w:eastAsia="zh-CN" w:bidi="ar-SA"/>
              </w:rPr>
              <w:t>温州市龙湾区沙城街道烟台村工业区B幢12-14号厂房租赁权（租期至2030年1月11日止）</w:t>
            </w:r>
          </w:p>
        </w:tc>
        <w:tc>
          <w:tcPr>
            <w:tcW w:w="777" w:type="pct"/>
            <w:shd w:val="clear" w:color="auto" w:fill="auto"/>
            <w:noWrap w:val="0"/>
            <w:vAlign w:val="center"/>
          </w:tcPr>
          <w:p w14:paraId="148FEE5D">
            <w:pPr>
              <w:spacing w:line="300" w:lineRule="exact"/>
              <w:jc w:val="cente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宋体" w:hAnsi="宋体" w:eastAsia="宋体" w:cs="宋体"/>
                <w:bCs/>
                <w:kern w:val="2"/>
                <w:sz w:val="24"/>
                <w:szCs w:val="24"/>
                <w:highlight w:val="none"/>
                <w:u w:val="none"/>
                <w:lang w:val="en-US" w:eastAsia="zh-CN" w:bidi="ar-SA"/>
              </w:rPr>
              <w:t>约240㎡</w:t>
            </w:r>
          </w:p>
        </w:tc>
        <w:tc>
          <w:tcPr>
            <w:tcW w:w="869" w:type="pct"/>
            <w:tcBorders>
              <w:right w:val="single" w:color="auto" w:sz="4" w:space="0"/>
            </w:tcBorders>
            <w:shd w:val="clear" w:color="auto" w:fill="auto"/>
            <w:noWrap w:val="0"/>
            <w:vAlign w:val="center"/>
          </w:tcPr>
          <w:p w14:paraId="22EBA3F8">
            <w:pPr>
              <w:spacing w:line="300" w:lineRule="exact"/>
              <w:jc w:val="center"/>
              <w:rPr>
                <w:rFonts w:hint="default"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pPr>
            <w:r>
              <w:rPr>
                <w:rFonts w:hint="eastAsia" w:ascii="宋体" w:hAnsi="宋体" w:cs="宋体"/>
                <w:bCs/>
                <w:color w:val="auto"/>
                <w:kern w:val="2"/>
                <w:sz w:val="24"/>
                <w:szCs w:val="24"/>
                <w:highlight w:val="none"/>
                <w:u w:val="none"/>
                <w:lang w:val="en-US" w:eastAsia="zh-CN" w:bidi="ar-SA"/>
              </w:rPr>
              <w:t>54173元</w:t>
            </w:r>
          </w:p>
        </w:tc>
        <w:tc>
          <w:tcPr>
            <w:tcW w:w="766" w:type="pct"/>
            <w:tcBorders>
              <w:right w:val="single" w:color="auto" w:sz="4" w:space="0"/>
            </w:tcBorders>
            <w:shd w:val="clear" w:color="auto" w:fill="auto"/>
            <w:noWrap w:val="0"/>
            <w:vAlign w:val="center"/>
          </w:tcPr>
          <w:p w14:paraId="2A133745">
            <w:pPr>
              <w:spacing w:line="300" w:lineRule="exact"/>
              <w:jc w:val="center"/>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pPr>
            <w:r>
              <w:rPr>
                <w:rFonts w:hint="eastAsia" w:ascii="宋体" w:hAnsi="宋体" w:cs="宋体"/>
                <w:bCs/>
                <w:kern w:val="2"/>
                <w:sz w:val="24"/>
                <w:szCs w:val="24"/>
                <w:highlight w:val="none"/>
                <w:u w:val="none"/>
                <w:lang w:val="en-US" w:eastAsia="zh-CN" w:bidi="ar-SA"/>
              </w:rPr>
              <w:t>4</w:t>
            </w:r>
            <w:r>
              <w:rPr>
                <w:rFonts w:hint="eastAsia" w:ascii="宋体" w:hAnsi="宋体" w:eastAsia="宋体" w:cs="宋体"/>
                <w:bCs/>
                <w:kern w:val="2"/>
                <w:sz w:val="24"/>
                <w:szCs w:val="24"/>
                <w:highlight w:val="none"/>
                <w:u w:val="none"/>
                <w:lang w:val="en-US" w:eastAsia="zh-CN" w:bidi="ar-SA"/>
              </w:rPr>
              <w:t>万元</w:t>
            </w:r>
          </w:p>
        </w:tc>
      </w:tr>
      <w:tr w14:paraId="62B00B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3" w:hRule="atLeast"/>
          <w:jc w:val="center"/>
        </w:trPr>
        <w:tc>
          <w:tcPr>
            <w:tcW w:w="5000" w:type="pct"/>
            <w:gridSpan w:val="5"/>
            <w:tcBorders>
              <w:left w:val="single" w:color="auto" w:sz="4" w:space="0"/>
              <w:right w:val="single" w:color="auto" w:sz="4" w:space="0"/>
            </w:tcBorders>
            <w:noWrap w:val="0"/>
            <w:vAlign w:val="center"/>
          </w:tcPr>
          <w:p w14:paraId="2C7510A9">
            <w:pPr>
              <w:pStyle w:val="3"/>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注：1.租期内租金不变，租金先付后用；前三期租金一年一付，第四期租金结算至2030年1月11日止，第四期租金为年租金成交价按实际租赁时间比例折算。</w:t>
            </w:r>
          </w:p>
          <w:p w14:paraId="4B78039D">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2.租赁期内，因租赁标的所产生的一切税费及物业管理费（1元/月/㎡），均由承租方自行承担，物业管理费缴纳时间由转让方书面通知。</w:t>
            </w:r>
          </w:p>
          <w:p w14:paraId="6A3D10F0">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jc w:val="both"/>
              <w:textAlignment w:val="auto"/>
              <w:rPr>
                <w:rFonts w:hint="eastAsia"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3.</w:t>
            </w:r>
            <w:r>
              <w:rPr>
                <w:rFonts w:hint="eastAsia" w:ascii="宋体" w:hAnsi="宋体" w:eastAsia="宋体" w:cs="宋体"/>
                <w:kern w:val="0"/>
                <w:sz w:val="24"/>
                <w:szCs w:val="24"/>
                <w:lang w:val="en-US" w:eastAsia="zh-CN" w:bidi="ar"/>
              </w:rPr>
              <w:t>标的设1个月建设期，不计租金。</w:t>
            </w:r>
          </w:p>
          <w:p w14:paraId="3ECF46E9">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jc w:val="both"/>
              <w:textAlignment w:val="auto"/>
              <w:rPr>
                <w:rFonts w:hint="default"/>
                <w:lang w:val="en-US" w:eastAsia="zh-CN"/>
              </w:rPr>
            </w:pPr>
            <w:r>
              <w:rPr>
                <w:rFonts w:hint="eastAsia" w:ascii="宋体" w:hAnsi="宋体" w:cs="宋体"/>
                <w:kern w:val="0"/>
                <w:sz w:val="24"/>
                <w:szCs w:val="24"/>
                <w:lang w:val="en-US" w:eastAsia="zh-CN" w:bidi="ar"/>
              </w:rPr>
              <w:t>4.标的尚未办理不动产权证，一切经营手续由承租方自理；标的物日常管理维护、消防安全及安全生产由承租方负责，因承租方使用与管理不当而产生的一切维修、侵权及整治等责任由承租方承担。</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二、交易条件：</w:t>
      </w:r>
    </w:p>
    <w:p w14:paraId="6B407941">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default"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报名对象</w:t>
      </w:r>
      <w:r>
        <w:rPr>
          <w:rFonts w:hint="eastAsia" w:ascii="宋体" w:hAnsi="宋体" w:cs="Times New Roman"/>
          <w:color w:val="auto"/>
          <w:sz w:val="24"/>
          <w:szCs w:val="24"/>
          <w:u w:val="none"/>
          <w:lang w:val="en-US" w:eastAsia="zh-CN"/>
        </w:rPr>
        <w:t>:</w:t>
      </w:r>
      <w:r>
        <w:rPr>
          <w:rFonts w:hint="eastAsia" w:ascii="宋体" w:hAnsi="宋体" w:eastAsia="宋体" w:cs="Times New Roman"/>
          <w:color w:val="auto"/>
          <w:sz w:val="24"/>
          <w:szCs w:val="24"/>
          <w:u w:val="none"/>
          <w:lang w:val="en-US" w:eastAsia="zh-CN"/>
        </w:rPr>
        <w:t>有效存续的工业生产型企业法人</w:t>
      </w:r>
      <w:r>
        <w:rPr>
          <w:rFonts w:hint="eastAsia" w:ascii="宋体" w:hAnsi="宋体" w:cs="Times New Roman"/>
          <w:color w:val="auto"/>
          <w:sz w:val="24"/>
          <w:szCs w:val="24"/>
          <w:u w:val="none"/>
          <w:lang w:val="en-US" w:eastAsia="zh-CN"/>
        </w:rPr>
        <w:t>。</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有意者，单位凭有效营业执照副本、法定</w:t>
      </w:r>
      <w:r>
        <w:rPr>
          <w:rFonts w:hint="eastAsia" w:ascii="宋体" w:hAnsi="宋体"/>
          <w:b/>
          <w:bCs/>
          <w:color w:val="auto"/>
          <w:sz w:val="44"/>
          <w:szCs w:val="44"/>
          <w:lang w:val="en-US" w:eastAsia="zh-CN"/>
        </w:rPr>
        <w:drawing>
          <wp:anchor distT="0" distB="0" distL="114300" distR="114300" simplePos="0" relativeHeight="251681792" behindDoc="1" locked="0" layoutInCell="1" allowOverlap="1">
            <wp:simplePos x="0" y="0"/>
            <wp:positionH relativeFrom="column">
              <wp:posOffset>336550</wp:posOffset>
            </wp:positionH>
            <wp:positionV relativeFrom="paragraph">
              <wp:posOffset>-4083050</wp:posOffset>
            </wp:positionV>
            <wp:extent cx="5276850" cy="5838825"/>
            <wp:effectExtent l="0" t="0" r="0" b="9525"/>
            <wp:wrapNone/>
            <wp:docPr id="3"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eastAsia="宋体" w:cs="Times New Roman"/>
          <w:color w:val="auto"/>
          <w:sz w:val="24"/>
          <w:szCs w:val="24"/>
          <w:u w:val="none"/>
          <w:lang w:val="en-US" w:eastAsia="zh-CN"/>
        </w:rPr>
        <w:t>代表人身份证、公章、竞价保证金缴纳凭证及本公告交易条件中的相关材料前往龙湾区农村产权服务中心实名备案，再在上述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交易保证金</w:t>
      </w:r>
      <w:r>
        <w:rPr>
          <w:rFonts w:hint="eastAsia" w:ascii="宋体" w:hAnsi="宋体" w:eastAsia="宋体" w:cs="Times New Roman"/>
          <w:color w:val="auto"/>
          <w:sz w:val="24"/>
          <w:szCs w:val="24"/>
          <w:u w:val="none"/>
          <w:lang w:val="en-US" w:eastAsia="zh-CN"/>
        </w:rPr>
        <w:t>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烟台村租赁项目</w:t>
      </w:r>
      <w:r>
        <w:rPr>
          <w:rFonts w:hint="eastAsia" w:ascii="宋体" w:hAnsi="宋体" w:eastAsia="宋体" w:cs="Times New Roman"/>
          <w:b/>
          <w:bCs/>
          <w:color w:val="auto"/>
          <w:sz w:val="24"/>
          <w:szCs w:val="24"/>
          <w:u w:val="none"/>
          <w:lang w:val="en-US" w:eastAsia="zh-CN"/>
        </w:rPr>
        <w:t>。</w:t>
      </w:r>
    </w:p>
    <w:p w14:paraId="601D702A">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val="0"/>
          <w:bCs w:val="0"/>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租赁履约保证金</w:t>
      </w:r>
      <w:r>
        <w:rPr>
          <w:rFonts w:hint="eastAsia" w:ascii="宋体" w:hAnsi="宋体" w:cs="Times New Roman"/>
          <w:b w:val="0"/>
          <w:bCs w:val="0"/>
          <w:color w:val="auto"/>
          <w:sz w:val="24"/>
          <w:szCs w:val="24"/>
          <w:u w:val="none"/>
          <w:lang w:val="en-US" w:eastAsia="zh-CN"/>
        </w:rPr>
        <w:t>为首年租金成交价的10%（取整数）。</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6</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6</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8</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42" w:firstLineChars="100"/>
        <w:jc w:val="left"/>
        <w:textAlignment w:val="auto"/>
        <w:rPr>
          <w:rFonts w:hint="default" w:ascii="宋体" w:hAnsi="宋体" w:cs="宋体"/>
          <w:b w:val="0"/>
          <w:bCs w:val="0"/>
          <w:color w:val="auto"/>
          <w:kern w:val="0"/>
          <w:sz w:val="24"/>
          <w:szCs w:val="24"/>
          <w:u w:val="none"/>
          <w:lang w:val="en-US" w:eastAsia="zh-CN"/>
        </w:rPr>
      </w:pPr>
      <w:r>
        <w:rPr>
          <w:rFonts w:hint="eastAsia" w:ascii="宋体" w:hAnsi="宋体"/>
          <w:b/>
          <w:bCs/>
          <w:color w:val="auto"/>
          <w:sz w:val="44"/>
          <w:szCs w:val="44"/>
          <w:lang w:val="en-US" w:eastAsia="zh-CN"/>
        </w:rPr>
        <w:drawing>
          <wp:anchor distT="0" distB="0" distL="114300" distR="114300" simplePos="0" relativeHeight="251680768" behindDoc="1" locked="0" layoutInCell="1" allowOverlap="1">
            <wp:simplePos x="0" y="0"/>
            <wp:positionH relativeFrom="column">
              <wp:posOffset>336550</wp:posOffset>
            </wp:positionH>
            <wp:positionV relativeFrom="paragraph">
              <wp:posOffset>19685</wp:posOffset>
            </wp:positionV>
            <wp:extent cx="5276850" cy="5838825"/>
            <wp:effectExtent l="0" t="0" r="0" b="9525"/>
            <wp:wrapNone/>
            <wp:docPr id="7"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15657789226</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2A6C6BF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cs="Times New Roman"/>
          <w:color w:val="auto"/>
          <w:sz w:val="24"/>
          <w:szCs w:val="24"/>
          <w:u w:val="none"/>
          <w:lang w:val="en-US" w:eastAsia="zh-CN"/>
        </w:rPr>
      </w:pP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温州市龙湾区沙城街道烟台村集体经济组织</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    2026年6月2日</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19173C3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eastAsia="zh-CN"/>
        </w:rPr>
        <w:t>履约保证金、</w:t>
      </w:r>
      <w:r>
        <w:rPr>
          <w:rFonts w:hint="eastAsia"/>
          <w:color w:val="auto"/>
          <w:sz w:val="24"/>
          <w:szCs w:val="24"/>
          <w:highlight w:val="none"/>
          <w:lang w:val="en-US" w:eastAsia="zh-CN"/>
        </w:rPr>
        <w:t>交易服务费及平台软件服务费。除农交云数字平台软件服务费外，其余剩余应交款采用线下支付尾款的方式，交纳至温州市龙湾区农村产权服务中心有限公司指定银行账号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2026年6月2日</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45720</wp:posOffset>
                </wp:positionH>
                <wp:positionV relativeFrom="paragraph">
                  <wp:posOffset>5715</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3.6pt;margin-top:0.45pt;height:78.3pt;width:461.4pt;z-index:251663360;mso-width-relative:page;mso-height-relative:page;" fillcolor="#FFFFFF" filled="t" stroked="t" coordsize="21600,21600" o:gfxdata="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XvtMjWAAAABgEAAA8AAAAAAAAAAQAg&#10;AAAAIgAAAGRycy9kb3ducmV2LnhtbFBLAQIUABQAAAAIAIdO4kAKtuEcEAIAAEQEAAAOAAAAAAAA&#10;AAEAIAAAACUBAABkcnMvZTJvRG9jLnhtbFBLBQYAAAAABgAGAFkBAACnBQ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5CF2D489">
      <w:pPr>
        <w:pStyle w:val="8"/>
        <w:ind w:left="0" w:leftChars="0" w:firstLine="0" w:firstLineChars="0"/>
        <w:rPr>
          <w:rFonts w:hint="eastAsia"/>
        </w:rPr>
      </w:pPr>
    </w:p>
    <w:p w14:paraId="6A9CC38B">
      <w:pPr>
        <w:spacing w:line="360" w:lineRule="auto"/>
        <w:jc w:val="center"/>
        <w:rPr>
          <w:rFonts w:hint="eastAsia"/>
          <w:b/>
          <w:color w:val="auto"/>
          <w:sz w:val="36"/>
          <w:szCs w:val="36"/>
          <w:highlight w:val="none"/>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2026年6月9日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cs="Times New Roman"/>
          <w:kern w:val="2"/>
          <w:sz w:val="24"/>
          <w:szCs w:val="24"/>
          <w:lang w:val="en-US" w:eastAsia="zh-CN" w:bidi="ar"/>
        </w:rPr>
        <w:t>6</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4F65B2B1">
      <w:pPr>
        <w:spacing w:line="500" w:lineRule="exact"/>
        <w:jc w:val="center"/>
        <w:rPr>
          <w:rFonts w:hint="eastAsia"/>
          <w:color w:val="auto"/>
          <w:sz w:val="24"/>
          <w:highlight w:val="none"/>
        </w:rPr>
        <w:sectPr>
          <w:footerReference r:id="rId10" w:type="first"/>
          <w:headerReference r:id="rId8" w:type="default"/>
          <w:footerReference r:id="rId9" w:type="default"/>
          <w:pgSz w:w="11906" w:h="16838"/>
          <w:pgMar w:top="1440" w:right="1372" w:bottom="1440" w:left="1372" w:header="851" w:footer="992" w:gutter="0"/>
          <w:pgNumType w:fmt="decimal" w:start="1"/>
          <w:cols w:space="720" w:num="1"/>
          <w:titlePg/>
          <w:docGrid w:type="lines" w:linePitch="312" w:charSpace="0"/>
        </w:sectPr>
      </w:pPr>
      <w:r>
        <w:rPr>
          <w:rFonts w:hint="eastAsia"/>
          <w:color w:val="auto"/>
          <w:sz w:val="24"/>
          <w:highlight w:val="none"/>
        </w:rPr>
        <w:br w:type="page"/>
      </w:r>
    </w:p>
    <w:p w14:paraId="7A557BAD">
      <w:pPr>
        <w:spacing w:line="500" w:lineRule="exact"/>
        <w:jc w:val="center"/>
        <w:rPr>
          <w:rFonts w:hint="eastAsia" w:ascii="宋体" w:hAnsi="宋体"/>
          <w:color w:val="auto"/>
          <w:sz w:val="24"/>
        </w:rPr>
      </w:pP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温州市龙湾区沙城街道烟台村集体经济组织</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48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3"/>
        <w:gridCol w:w="4667"/>
        <w:gridCol w:w="1244"/>
        <w:gridCol w:w="1708"/>
        <w:gridCol w:w="1550"/>
      </w:tblGrid>
      <w:tr w14:paraId="669DBB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3" w:hRule="atLeast"/>
          <w:jc w:val="center"/>
        </w:trPr>
        <w:tc>
          <w:tcPr>
            <w:tcW w:w="356" w:type="pct"/>
            <w:tcBorders>
              <w:left w:val="single" w:color="auto" w:sz="4" w:space="0"/>
            </w:tcBorders>
            <w:noWrap w:val="0"/>
            <w:vAlign w:val="center"/>
          </w:tcPr>
          <w:p w14:paraId="3E219C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标的编号</w:t>
            </w:r>
          </w:p>
        </w:tc>
        <w:tc>
          <w:tcPr>
            <w:tcW w:w="2364" w:type="pct"/>
            <w:noWrap w:val="0"/>
            <w:vAlign w:val="center"/>
          </w:tcPr>
          <w:p w14:paraId="6E6EF2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标的</w:t>
            </w: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概况</w:t>
            </w:r>
          </w:p>
        </w:tc>
        <w:tc>
          <w:tcPr>
            <w:tcW w:w="630" w:type="pct"/>
            <w:noWrap w:val="0"/>
            <w:vAlign w:val="center"/>
          </w:tcPr>
          <w:p w14:paraId="4B7729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面积</w:t>
            </w:r>
          </w:p>
        </w:tc>
        <w:tc>
          <w:tcPr>
            <w:tcW w:w="865" w:type="pct"/>
            <w:tcBorders>
              <w:right w:val="single" w:color="auto" w:sz="4" w:space="0"/>
            </w:tcBorders>
            <w:noWrap w:val="0"/>
            <w:vAlign w:val="center"/>
          </w:tcPr>
          <w:p w14:paraId="080645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eastAsiaTheme="minorEastAsia" w:cstheme="minorEastAsia"/>
                <w:b/>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年租金起始价</w:t>
            </w:r>
          </w:p>
        </w:tc>
        <w:tc>
          <w:tcPr>
            <w:tcW w:w="781" w:type="pct"/>
            <w:tcBorders>
              <w:right w:val="single" w:color="auto" w:sz="4" w:space="0"/>
            </w:tcBorders>
            <w:noWrap w:val="0"/>
            <w:vAlign w:val="center"/>
          </w:tcPr>
          <w:p w14:paraId="01D838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heme="minorEastAsia" w:hAnsiTheme="minorEastAsia" w:eastAsiaTheme="minorEastAsia" w:cstheme="minorEastAsia"/>
                <w:b/>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交易保证金</w:t>
            </w:r>
          </w:p>
        </w:tc>
      </w:tr>
      <w:tr w14:paraId="0BED1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4" w:hRule="atLeast"/>
          <w:jc w:val="center"/>
        </w:trPr>
        <w:tc>
          <w:tcPr>
            <w:tcW w:w="356" w:type="pct"/>
            <w:tcBorders>
              <w:left w:val="single" w:color="auto" w:sz="4" w:space="0"/>
            </w:tcBorders>
            <w:noWrap w:val="0"/>
            <w:vAlign w:val="center"/>
          </w:tcPr>
          <w:p w14:paraId="7108F8F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1</w:t>
            </w:r>
          </w:p>
        </w:tc>
        <w:tc>
          <w:tcPr>
            <w:tcW w:w="2364" w:type="pct"/>
            <w:noWrap w:val="0"/>
            <w:vAlign w:val="center"/>
          </w:tcPr>
          <w:p w14:paraId="7D81FFC1">
            <w:pPr>
              <w:spacing w:line="300" w:lineRule="exact"/>
              <w:jc w:val="cente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宋体" w:hAnsi="宋体" w:eastAsia="宋体" w:cs="宋体"/>
                <w:bCs/>
                <w:kern w:val="2"/>
                <w:sz w:val="24"/>
                <w:szCs w:val="24"/>
                <w:highlight w:val="none"/>
                <w:u w:val="none"/>
                <w:lang w:val="en-US" w:eastAsia="zh-CN" w:bidi="ar-SA"/>
              </w:rPr>
              <w:t>温州市龙湾区沙城街道烟台村工业区B幢12-14号厂房租赁权（租期至2030年1月11日止）</w:t>
            </w:r>
          </w:p>
        </w:tc>
        <w:tc>
          <w:tcPr>
            <w:tcW w:w="630" w:type="pct"/>
            <w:shd w:val="clear" w:color="auto" w:fill="auto"/>
            <w:noWrap w:val="0"/>
            <w:vAlign w:val="center"/>
          </w:tcPr>
          <w:p w14:paraId="4F203ACF">
            <w:pPr>
              <w:spacing w:line="300" w:lineRule="exact"/>
              <w:jc w:val="cente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宋体" w:hAnsi="宋体" w:eastAsia="宋体" w:cs="宋体"/>
                <w:bCs/>
                <w:kern w:val="2"/>
                <w:sz w:val="24"/>
                <w:szCs w:val="24"/>
                <w:highlight w:val="none"/>
                <w:u w:val="none"/>
                <w:lang w:val="en-US" w:eastAsia="zh-CN" w:bidi="ar-SA"/>
              </w:rPr>
              <w:t>约240㎡</w:t>
            </w:r>
          </w:p>
        </w:tc>
        <w:tc>
          <w:tcPr>
            <w:tcW w:w="865" w:type="pct"/>
            <w:tcBorders>
              <w:right w:val="single" w:color="auto" w:sz="4" w:space="0"/>
            </w:tcBorders>
            <w:shd w:val="clear" w:color="auto" w:fill="auto"/>
            <w:noWrap w:val="0"/>
            <w:vAlign w:val="center"/>
          </w:tcPr>
          <w:p w14:paraId="3A5EB8E9">
            <w:pPr>
              <w:spacing w:line="300" w:lineRule="exact"/>
              <w:jc w:val="center"/>
              <w:rPr>
                <w:rFonts w:hint="default"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pPr>
            <w:r>
              <w:rPr>
                <w:rFonts w:hint="eastAsia" w:ascii="宋体" w:hAnsi="宋体" w:cs="宋体"/>
                <w:bCs/>
                <w:color w:val="auto"/>
                <w:kern w:val="2"/>
                <w:sz w:val="24"/>
                <w:szCs w:val="24"/>
                <w:highlight w:val="none"/>
                <w:u w:val="none"/>
                <w:lang w:val="en-US" w:eastAsia="zh-CN" w:bidi="ar-SA"/>
              </w:rPr>
              <w:t>54173元</w:t>
            </w:r>
          </w:p>
        </w:tc>
        <w:tc>
          <w:tcPr>
            <w:tcW w:w="781" w:type="pct"/>
            <w:tcBorders>
              <w:right w:val="single" w:color="auto" w:sz="4" w:space="0"/>
            </w:tcBorders>
            <w:shd w:val="clear" w:color="auto" w:fill="auto"/>
            <w:noWrap w:val="0"/>
            <w:vAlign w:val="center"/>
          </w:tcPr>
          <w:p w14:paraId="151F0A77">
            <w:pPr>
              <w:spacing w:line="300" w:lineRule="exact"/>
              <w:jc w:val="center"/>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pPr>
            <w:r>
              <w:rPr>
                <w:rFonts w:hint="eastAsia" w:ascii="宋体" w:hAnsi="宋体" w:cs="宋体"/>
                <w:bCs/>
                <w:kern w:val="2"/>
                <w:sz w:val="24"/>
                <w:szCs w:val="24"/>
                <w:highlight w:val="none"/>
                <w:u w:val="none"/>
                <w:lang w:val="en-US" w:eastAsia="zh-CN" w:bidi="ar-SA"/>
              </w:rPr>
              <w:t>4</w:t>
            </w:r>
            <w:r>
              <w:rPr>
                <w:rFonts w:hint="eastAsia" w:ascii="宋体" w:hAnsi="宋体" w:eastAsia="宋体" w:cs="宋体"/>
                <w:bCs/>
                <w:kern w:val="2"/>
                <w:sz w:val="24"/>
                <w:szCs w:val="24"/>
                <w:highlight w:val="none"/>
                <w:u w:val="none"/>
                <w:lang w:val="en-US" w:eastAsia="zh-CN" w:bidi="ar-SA"/>
              </w:rPr>
              <w:t>万元</w:t>
            </w:r>
          </w:p>
        </w:tc>
      </w:tr>
      <w:tr w14:paraId="4DF06E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3" w:hRule="atLeast"/>
          <w:jc w:val="center"/>
        </w:trPr>
        <w:tc>
          <w:tcPr>
            <w:tcW w:w="5000" w:type="pct"/>
            <w:gridSpan w:val="5"/>
            <w:tcBorders>
              <w:left w:val="single" w:color="auto" w:sz="4" w:space="0"/>
              <w:right w:val="single" w:color="auto" w:sz="4" w:space="0"/>
            </w:tcBorders>
            <w:noWrap w:val="0"/>
            <w:vAlign w:val="center"/>
          </w:tcPr>
          <w:p w14:paraId="565AEFC1">
            <w:pPr>
              <w:pStyle w:val="3"/>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注：1.租期内租金不变，租金先付后用；前三期租金一年一付，第四期租金结算至2030年1月11日止，第四期租金为年租金成交价按实际租赁时间比例折算。</w:t>
            </w:r>
          </w:p>
          <w:p w14:paraId="5FAC1C60">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2.租赁期内，因租赁标的所产生的一切税费及物业管理费（1元/月/㎡），均由承租方自行承担，物业管理费缴纳时间由转让方书面通知。</w:t>
            </w:r>
          </w:p>
          <w:p w14:paraId="6CEB37A6">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jc w:val="both"/>
              <w:textAlignment w:val="auto"/>
              <w:rPr>
                <w:rFonts w:hint="eastAsia"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3.</w:t>
            </w:r>
            <w:r>
              <w:rPr>
                <w:rFonts w:hint="eastAsia" w:ascii="宋体" w:hAnsi="宋体" w:eastAsia="宋体" w:cs="宋体"/>
                <w:kern w:val="0"/>
                <w:sz w:val="24"/>
                <w:szCs w:val="24"/>
                <w:lang w:val="en-US" w:eastAsia="zh-CN" w:bidi="ar"/>
              </w:rPr>
              <w:t>标的设1个月建设期，不计租金。</w:t>
            </w:r>
          </w:p>
          <w:p w14:paraId="64F8F741">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80" w:firstLineChars="200"/>
              <w:jc w:val="both"/>
              <w:textAlignment w:val="auto"/>
              <w:rPr>
                <w:rFonts w:hint="default"/>
                <w:lang w:val="en-US" w:eastAsia="zh-CN"/>
              </w:rPr>
            </w:pPr>
            <w:r>
              <w:rPr>
                <w:rFonts w:hint="eastAsia" w:ascii="宋体" w:hAnsi="宋体" w:cs="宋体"/>
                <w:kern w:val="0"/>
                <w:sz w:val="24"/>
                <w:szCs w:val="24"/>
                <w:lang w:val="en-US" w:eastAsia="zh-CN" w:bidi="ar"/>
              </w:rPr>
              <w:t>4.标的尚未办理不动产权证，一切经营手续由承租方自理；标的物日常管理维护、消防安全及安全生产由承租方负责，因承租方使用与管理不当而产生的一切维修、侵权及整治等责任由承租方承担。</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w:t>
      </w: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245745</wp:posOffset>
            </wp:positionH>
            <wp:positionV relativeFrom="paragraph">
              <wp:posOffset>-4910455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一次性支付年租金</w:t>
      </w:r>
      <w:r>
        <w:rPr>
          <w:rFonts w:hint="eastAsia" w:ascii="宋体" w:hAnsi="宋体" w:cs="宋体"/>
          <w:color w:val="auto"/>
          <w:sz w:val="24"/>
          <w:szCs w:val="24"/>
          <w:u w:val="single"/>
          <w:lang w:val="en-US" w:eastAsia="zh-CN"/>
        </w:rPr>
        <w:t>、履约保证</w:t>
      </w:r>
      <w:r>
        <w:rPr>
          <w:rFonts w:hint="eastAsia" w:ascii="宋体" w:hAnsi="宋体" w:eastAsia="宋体" w:cs="宋体"/>
          <w:color w:val="auto"/>
          <w:sz w:val="24"/>
          <w:szCs w:val="24"/>
          <w:u w:val="single"/>
          <w:lang w:val="en-US" w:eastAsia="zh-CN"/>
        </w:rPr>
        <w:t>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883" w:firstLineChars="200"/>
        <w:textAlignment w:val="auto"/>
        <w:rPr>
          <w:rFonts w:hint="eastAsia"/>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245745</wp:posOffset>
            </wp:positionH>
            <wp:positionV relativeFrom="paragraph">
              <wp:posOffset>88900</wp:posOffset>
            </wp:positionV>
            <wp:extent cx="5271770" cy="5833110"/>
            <wp:effectExtent l="0" t="0" r="5080" b="15240"/>
            <wp:wrapNone/>
            <wp:docPr id="2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Cs/>
          <w:color w:val="auto"/>
          <w:sz w:val="24"/>
          <w:szCs w:val="24"/>
          <w:lang w:val="en-US" w:eastAsia="zh-CN"/>
        </w:rPr>
        <w:t>交易服务费计算如下：</w:t>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交易成交价租金总额，采用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软件服务费</w:t>
      </w:r>
      <w:r>
        <w:rPr>
          <w:rFonts w:hint="eastAsia" w:ascii="宋体" w:hAnsi="宋体" w:eastAsia="宋体" w:cs="宋体"/>
          <w:b/>
          <w:bCs w:val="0"/>
          <w:color w:val="auto"/>
          <w:kern w:val="2"/>
          <w:sz w:val="24"/>
          <w:szCs w:val="24"/>
          <w:u w:val="single"/>
          <w:lang w:val="en-US" w:eastAsia="zh-CN" w:bidi="ar-SA"/>
        </w:rPr>
        <w:t>。</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07768DA">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不超过1000的部分</w:t>
            </w:r>
            <w:r>
              <w:rPr>
                <w:rFonts w:hint="eastAsia" w:asciiTheme="minorEastAsia" w:hAnsiTheme="minorEastAsia" w:eastAsiaTheme="minorEastAsia" w:cstheme="minorEastAsia"/>
                <w:color w:val="auto"/>
                <w:sz w:val="21"/>
                <w:szCs w:val="21"/>
                <w:highlight w:val="none"/>
              </w:rPr>
              <w:t>（含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36A8233C">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0.9</w:t>
            </w:r>
          </w:p>
        </w:tc>
      </w:tr>
      <w:tr w14:paraId="5038D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12B80710">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超过1000的部分</w:t>
            </w:r>
          </w:p>
        </w:tc>
        <w:tc>
          <w:tcPr>
            <w:tcW w:w="4203" w:type="dxa"/>
            <w:noWrap w:val="0"/>
            <w:vAlign w:val="center"/>
          </w:tcPr>
          <w:p w14:paraId="6D3145B3">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r w14:paraId="191E5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551" w:type="dxa"/>
            <w:gridSpan w:val="2"/>
            <w:noWrap w:val="0"/>
            <w:vAlign w:val="center"/>
          </w:tcPr>
          <w:p w14:paraId="678BCD65">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w:t>
      </w:r>
      <w:r>
        <w:rPr>
          <w:rFonts w:hint="eastAsia" w:ascii="宋体" w:hAnsi="宋体" w:eastAsia="宋体" w:cs="宋体"/>
          <w:kern w:val="0"/>
          <w:sz w:val="24"/>
          <w:szCs w:val="24"/>
          <w:lang w:val="en-US" w:eastAsia="zh-CN" w:bidi="ar"/>
        </w:rPr>
        <w:t>竞得人需于标的成交款项缴清后</w:t>
      </w:r>
      <w:r>
        <w:rPr>
          <w:rFonts w:hint="eastAsia"/>
          <w:b w:val="0"/>
          <w:bCs/>
          <w:color w:val="auto"/>
          <w:sz w:val="24"/>
          <w:szCs w:val="24"/>
          <w:highlight w:val="none"/>
          <w:lang w:val="en-US" w:eastAsia="zh-CN"/>
        </w:rPr>
        <w:t>7日内与出租人签订《租赁合同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w:t>
      </w:r>
      <w:r>
        <w:rPr>
          <w:rFonts w:hint="eastAsia" w:ascii="宋体" w:hAnsi="宋体"/>
          <w:b/>
          <w:bCs/>
          <w:sz w:val="24"/>
          <w:szCs w:val="24"/>
        </w:rPr>
        <w:t>租赁税</w:t>
      </w:r>
      <w:r>
        <w:rPr>
          <w:rFonts w:hint="eastAsia" w:ascii="宋体" w:hAnsi="宋体"/>
          <w:sz w:val="24"/>
          <w:szCs w:val="24"/>
        </w:rPr>
        <w:t>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4EFEA22D">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cs="宋体"/>
          <w:b/>
          <w:bCs/>
          <w:color w:val="auto"/>
          <w:sz w:val="24"/>
          <w:szCs w:val="24"/>
          <w:u w:val="single"/>
          <w:lang w:val="en-US" w:eastAsia="zh-CN"/>
        </w:rPr>
        <w:t>5</w:t>
      </w:r>
      <w:r>
        <w:rPr>
          <w:rFonts w:hint="eastAsia" w:ascii="宋体" w:hAnsi="宋体" w:eastAsia="宋体" w:cs="宋体"/>
          <w:b/>
          <w:bCs/>
          <w:color w:val="auto"/>
          <w:sz w:val="24"/>
          <w:szCs w:val="24"/>
          <w:u w:val="single"/>
          <w:lang w:val="en-US" w:eastAsia="zh-CN"/>
        </w:rPr>
        <w:t>、一经发现竞价人拖欠烟台村集体租金或其他不符合竞价对象条件的，竞价保证金不予退还。</w:t>
      </w:r>
    </w:p>
    <w:p w14:paraId="2F3592D6">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cs="宋体"/>
          <w:b/>
          <w:bCs/>
          <w:color w:val="auto"/>
          <w:sz w:val="24"/>
          <w:szCs w:val="24"/>
          <w:u w:val="single"/>
          <w:lang w:val="en-US" w:eastAsia="zh-CN"/>
        </w:rPr>
        <w:t>6</w:t>
      </w:r>
      <w:r>
        <w:rPr>
          <w:rFonts w:hint="eastAsia" w:ascii="宋体" w:hAnsi="宋体" w:eastAsia="宋体" w:cs="宋体"/>
          <w:b/>
          <w:bCs/>
          <w:color w:val="auto"/>
          <w:sz w:val="24"/>
          <w:szCs w:val="24"/>
          <w:u w:val="single"/>
          <w:lang w:val="en-US" w:eastAsia="zh-CN"/>
        </w:rPr>
        <w:t>、若竞得人存在拖欠烟台村集体租金或其他不符合竞价对象条件的情况，则取消成交结果，除竞价保证金不予退还外，并承担相应责任。</w:t>
      </w:r>
    </w:p>
    <w:p w14:paraId="4169ABBB">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宋体"/>
          <w:color w:val="auto"/>
          <w:sz w:val="24"/>
          <w:szCs w:val="24"/>
          <w:u w:val="single"/>
          <w:lang w:val="en-US" w:eastAsia="zh-CN"/>
        </w:rPr>
      </w:pPr>
      <w:r>
        <w:rPr>
          <w:rFonts w:hint="default" w:ascii="宋体" w:hAnsi="宋体" w:eastAsia="宋体" w:cs="宋体"/>
          <w:b w:val="0"/>
          <w:bCs w:val="0"/>
          <w:color w:val="auto"/>
          <w:sz w:val="24"/>
          <w:szCs w:val="24"/>
          <w:u w:val="single"/>
          <w:lang w:val="en-US" w:eastAsia="zh-CN"/>
        </w:rPr>
        <w:drawing>
          <wp:anchor distT="0" distB="0" distL="114300" distR="114300" simplePos="0" relativeHeight="251679744" behindDoc="1" locked="0" layoutInCell="1" allowOverlap="1">
            <wp:simplePos x="0" y="0"/>
            <wp:positionH relativeFrom="column">
              <wp:posOffset>658495</wp:posOffset>
            </wp:positionH>
            <wp:positionV relativeFrom="paragraph">
              <wp:posOffset>319405</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val="0"/>
          <w:bCs w:val="0"/>
          <w:color w:val="auto"/>
          <w:sz w:val="24"/>
          <w:szCs w:val="24"/>
          <w:u w:val="single"/>
          <w:lang w:val="en-US" w:eastAsia="zh-CN"/>
        </w:rPr>
        <w:t>7、标的尚未办理不动产权证，一切经营手续由承租方自理；标的物日常管理维护、消防安全及安全生产由承租方负责，因承租方使用与管理不当而产生的一切维修、侵权及整治等责任由承租方承担</w:t>
      </w:r>
      <w:r>
        <w:rPr>
          <w:rFonts w:hint="eastAsia" w:cs="宋体"/>
          <w:color w:val="auto"/>
          <w:sz w:val="24"/>
          <w:szCs w:val="24"/>
          <w:u w:val="single"/>
          <w:lang w:val="en-US" w:eastAsia="zh-CN"/>
        </w:rPr>
        <w:t>。</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u w:val="single"/>
          <w:lang w:val="en-US" w:eastAsia="zh-CN"/>
        </w:rPr>
      </w:pPr>
      <w:r>
        <w:rPr>
          <w:rFonts w:hint="eastAsia" w:cs="宋体"/>
          <w:color w:val="auto"/>
          <w:sz w:val="24"/>
          <w:szCs w:val="24"/>
          <w:u w:val="single"/>
          <w:lang w:val="en-US" w:eastAsia="zh-CN"/>
        </w:rPr>
        <w:t>8</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041B7CD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szCs w:val="24"/>
          <w:u w:val="single"/>
          <w:lang w:val="en-US" w:eastAsia="zh-CN"/>
        </w:rPr>
      </w:pPr>
      <w:r>
        <w:rPr>
          <w:rFonts w:hint="eastAsia" w:ascii="宋体" w:hAnsi="宋体" w:cs="宋体"/>
          <w:color w:val="auto"/>
          <w:sz w:val="24"/>
          <w:szCs w:val="24"/>
          <w:u w:val="single"/>
          <w:lang w:val="en-US" w:eastAsia="zh-CN"/>
        </w:rPr>
        <w:t>9、承租方若提前解除合同，需提前1个月书面通知转让方，转让方无条件没收租金及租赁履约保证金，另外承租方还需支付1个月建设期的租金。</w:t>
      </w:r>
    </w:p>
    <w:p w14:paraId="317490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szCs w:val="24"/>
          <w:u w:val="single"/>
          <w:lang w:val="en-US" w:eastAsia="zh-CN"/>
        </w:rPr>
      </w:pPr>
      <w:r>
        <w:rPr>
          <w:rFonts w:hint="eastAsia" w:ascii="宋体" w:hAnsi="宋体" w:cs="宋体"/>
          <w:color w:val="auto"/>
          <w:sz w:val="24"/>
          <w:szCs w:val="24"/>
          <w:u w:val="single"/>
          <w:lang w:val="en-US" w:eastAsia="zh-CN"/>
        </w:rPr>
        <w:t>10、租赁期内，因租赁标的所产生的一切税费及物业管理费（1元/月/㎡），均由承租方自行承担，物业管理费缴纳时间由转让方书面通知。</w:t>
      </w:r>
    </w:p>
    <w:p w14:paraId="491595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color w:val="auto"/>
          <w:sz w:val="24"/>
          <w:szCs w:val="24"/>
          <w:u w:val="single"/>
          <w:lang w:val="en-US" w:eastAsia="zh-CN"/>
        </w:rPr>
      </w:pPr>
      <w:r>
        <w:rPr>
          <w:rFonts w:hint="eastAsia" w:ascii="宋体" w:hAnsi="宋体" w:cs="宋体"/>
          <w:color w:val="auto"/>
          <w:sz w:val="24"/>
          <w:szCs w:val="24"/>
          <w:u w:val="single"/>
          <w:lang w:val="en-US" w:eastAsia="zh-CN"/>
        </w:rPr>
        <w:t>11、竞得人需于标的成交款项缴清后7日内与转让方签署《房产租赁合同》。</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2026年6月2日</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135255</wp:posOffset>
                </wp:positionH>
                <wp:positionV relativeFrom="paragraph">
                  <wp:posOffset>38735</wp:posOffset>
                </wp:positionV>
                <wp:extent cx="6073140" cy="994410"/>
                <wp:effectExtent l="4445" t="4445" r="18415" b="10795"/>
                <wp:wrapNone/>
                <wp:docPr id="11" name="文本框 11"/>
                <wp:cNvGraphicFramePr/>
                <a:graphic xmlns:a="http://schemas.openxmlformats.org/drawingml/2006/main">
                  <a:graphicData uri="http://schemas.microsoft.com/office/word/2010/wordprocessingShape">
                    <wps:wsp>
                      <wps:cNvSpPr txBox="1"/>
                      <wps:spPr>
                        <a:xfrm>
                          <a:off x="0" y="0"/>
                          <a:ext cx="6073140"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wps:txbx>
                      <wps:bodyPr upright="1"/>
                    </wps:wsp>
                  </a:graphicData>
                </a:graphic>
              </wp:anchor>
            </w:drawing>
          </mc:Choice>
          <mc:Fallback>
            <w:pict>
              <v:shape id="_x0000_s1026" o:spid="_x0000_s1026" o:spt="202" type="#_x0000_t202" style="position:absolute;left:0pt;margin-left:10.65pt;margin-top:3.05pt;height:78.3pt;width:478.2pt;z-index:251664384;mso-width-relative:page;mso-height-relative:page;" filled="f" stroked="t" coordsize="21600,21600" o:gfxdata="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a/pS3VAAAACAEAAA8AAAAAAAAAAQAgAAAAIgAA&#10;AGRycy9kb3ducmV2LnhtbFBLAQIUABQAAAAIAIdO4kCP6xDbCwIAAB0EAAAOAAAAAAAAAAEAIAAA&#10;ACQBAABkcnMvZTJvRG9jLnhtbFBLBQYAAAAABgAGAFkBAAChBQ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pgSz w:w="11906" w:h="16838"/>
          <w:pgMar w:top="1134" w:right="1020" w:bottom="1134" w:left="1020" w:header="851" w:footer="992" w:gutter="0"/>
          <w:pgNumType w:fmt="decimal"/>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2026年6月9日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租期内租金不变，租金先付后用；前三期租金一年一付，第四期租金结算至</w:t>
      </w:r>
      <w:r>
        <w:rPr>
          <w:rFonts w:hint="eastAsia" w:asciiTheme="majorEastAsia" w:hAnsiTheme="majorEastAsia" w:eastAsiaTheme="majorEastAsia" w:cstheme="majorEastAsia"/>
          <w:b/>
          <w:bCs/>
          <w:color w:val="000000" w:themeColor="text1"/>
          <w:sz w:val="24"/>
          <w:szCs w:val="24"/>
          <w:highlight w:val="none"/>
          <w:u w:val="single"/>
          <w:lang w:val="en-US" w:eastAsia="zh-CN"/>
          <w14:textFill>
            <w14:solidFill>
              <w14:schemeClr w14:val="tx1"/>
            </w14:solidFill>
          </w14:textFill>
        </w:rPr>
        <w:t>2030年1月11日</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止，第四期租金为年租金成交价按实际租赁时间比例折算。</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w:t>
      </w:r>
      <w:r>
        <w:rPr>
          <w:rFonts w:hint="eastAsia" w:cs="Times New Roman"/>
          <w:color w:val="auto"/>
          <w:kern w:val="2"/>
          <w:sz w:val="24"/>
          <w:szCs w:val="20"/>
          <w:highlight w:val="none"/>
          <w:u w:val="none"/>
          <w:lang w:val="en-US" w:eastAsia="zh-CN" w:bidi="ar-SA"/>
        </w:rPr>
        <w:t>26</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6月16</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转为相应的租赁履约保证金及年租金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具体租赁事项以竞得人与温州市龙湾区沙城街道烟台村集体经济组织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2026年6月   日</w:t>
      </w:r>
    </w:p>
    <w:p w14:paraId="6BF3093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54B7D588">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温州市龙湾区沙城街道烟台村集体经济组织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w:t>
      </w:r>
      <w:r>
        <w:rPr>
          <w:rFonts w:hint="eastAsia" w:ascii="宋体" w:hAnsi="宋体" w:cs="宋体"/>
          <w:color w:val="auto"/>
          <w:sz w:val="24"/>
          <w:szCs w:val="24"/>
          <w:highlight w:val="none"/>
          <w:lang w:eastAsia="zh-CN"/>
        </w:rPr>
        <w:t>，</w:t>
      </w:r>
      <w:r>
        <w:rPr>
          <w:rFonts w:hint="eastAsia" w:ascii="Times New Roman" w:hAnsi="Times New Roman" w:eastAsia="宋体" w:cs="Times New Roman"/>
          <w:b w:val="0"/>
          <w:bCs/>
          <w:sz w:val="24"/>
          <w:szCs w:val="24"/>
          <w:highlight w:val="none"/>
          <w:u w:val="none" w:color="auto"/>
          <w:lang w:val="en-US" w:eastAsia="zh-CN"/>
        </w:rPr>
        <w:t>租金不再进行调整</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无不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58642593">
      <w:pPr>
        <w:pStyle w:val="4"/>
        <w:keepNext w:val="0"/>
        <w:keepLines w:val="0"/>
        <w:pageBreakBefore w:val="0"/>
        <w:widowControl w:val="0"/>
        <w:kinsoku/>
        <w:wordWrap/>
        <w:overflowPunct/>
        <w:topLinePunct w:val="0"/>
        <w:autoSpaceDE/>
        <w:autoSpaceDN/>
        <w:bidi w:val="0"/>
        <w:adjustRightInd/>
        <w:snapToGrid/>
        <w:spacing w:line="380" w:lineRule="exact"/>
        <w:ind w:left="0" w:leftChars="0" w:firstLine="480" w:firstLineChars="200"/>
        <w:textAlignment w:val="auto"/>
        <w:rPr>
          <w:rFonts w:hint="eastAsia" w:ascii="宋体" w:hAnsi="宋体" w:eastAsia="宋体" w:cs="宋体"/>
          <w:color w:val="auto"/>
          <w:szCs w:val="24"/>
          <w:lang w:eastAsia="zh-CN"/>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建设期</w:t>
      </w:r>
      <w:r>
        <w:rPr>
          <w:rFonts w:hint="eastAsia" w:ascii="宋体" w:hAnsi="宋体" w:cs="宋体"/>
          <w:color w:val="auto"/>
          <w:szCs w:val="24"/>
          <w:highlight w:val="none"/>
        </w:rPr>
        <w:t>为</w:t>
      </w:r>
      <w:r>
        <w:rPr>
          <w:rFonts w:hint="eastAsia" w:ascii="宋体" w:hAnsi="宋体" w:cs="宋体"/>
          <w:color w:val="auto"/>
          <w:szCs w:val="24"/>
          <w:highlight w:val="none"/>
          <w:u w:val="single"/>
          <w:lang w:val="en-US" w:eastAsia="zh-CN"/>
        </w:rPr>
        <w:t xml:space="preserve"> 1 </w:t>
      </w:r>
      <w:r>
        <w:rPr>
          <w:rFonts w:hint="eastAsia" w:ascii="宋体" w:hAnsi="宋体" w:cs="宋体"/>
          <w:color w:val="auto"/>
          <w:szCs w:val="24"/>
          <w:lang w:val="en-US" w:eastAsia="zh-CN"/>
        </w:rPr>
        <w:t>个月</w:t>
      </w:r>
      <w:r>
        <w:rPr>
          <w:rFonts w:hint="eastAsia" w:ascii="宋体" w:hAnsi="宋体" w:cs="宋体"/>
          <w:color w:val="auto"/>
          <w:szCs w:val="24"/>
        </w:rPr>
        <w:t>，自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0CDBB125">
      <w:pPr>
        <w:pStyle w:val="4"/>
        <w:keepNext w:val="0"/>
        <w:keepLines w:val="0"/>
        <w:pageBreakBefore w:val="0"/>
        <w:widowControl w:val="0"/>
        <w:kinsoku/>
        <w:wordWrap/>
        <w:overflowPunct/>
        <w:topLinePunct w:val="0"/>
        <w:autoSpaceDE/>
        <w:autoSpaceDN/>
        <w:bidi w:val="0"/>
        <w:adjustRightInd/>
        <w:snapToGrid/>
        <w:spacing w:line="380" w:lineRule="exact"/>
        <w:ind w:left="0" w:leftChars="0" w:firstLine="480" w:firstLineChars="200"/>
        <w:textAlignment w:val="auto"/>
        <w:rPr>
          <w:rFonts w:hint="eastAsia" w:ascii="宋体" w:hAnsi="宋体" w:eastAsia="宋体" w:cs="宋体"/>
          <w:color w:val="auto"/>
          <w:szCs w:val="24"/>
          <w:lang w:eastAsia="zh-CN"/>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default" w:ascii="宋体" w:hAnsi="宋体" w:cs="宋体"/>
          <w:color w:val="auto"/>
          <w:kern w:val="0"/>
          <w:szCs w:val="24"/>
          <w:u w:val="none"/>
          <w:lang w:val="en-US" w:eastAsia="zh-CN"/>
        </w:rPr>
      </w:pPr>
      <w:r>
        <w:rPr>
          <w:rFonts w:hint="eastAsia" w:ascii="宋体" w:hAnsi="宋体"/>
          <w:color w:val="auto"/>
          <w:szCs w:val="24"/>
          <w:u w:val="none"/>
          <w:lang w:val="en-US" w:eastAsia="zh-CN"/>
        </w:rPr>
        <w:t>1.第一期</w:t>
      </w:r>
      <w:r>
        <w:rPr>
          <w:rFonts w:hint="eastAsia" w:ascii="宋体" w:hAnsi="宋体"/>
          <w:color w:val="auto"/>
          <w:szCs w:val="24"/>
          <w:u w:val="none"/>
        </w:rPr>
        <w:t>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lang w:val="en-US" w:eastAsia="zh-CN"/>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2.第二期租金￥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3.第三期租金￥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0FEC8502">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4.第四期租金￥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354A1696">
      <w:pPr>
        <w:pStyle w:val="4"/>
        <w:spacing w:line="380" w:lineRule="exact"/>
        <w:rPr>
          <w:rFonts w:hint="eastAsia" w:ascii="宋体" w:hAnsi="宋体" w:cs="宋体"/>
          <w:color w:val="auto"/>
          <w:kern w:val="0"/>
          <w:szCs w:val="24"/>
          <w:highlight w:val="none"/>
          <w:u w:val="none"/>
        </w:rPr>
      </w:pPr>
      <w:r>
        <w:rPr>
          <w:rFonts w:hint="eastAsia" w:ascii="宋体" w:hAnsi="宋体" w:cs="宋体"/>
          <w:color w:val="auto"/>
          <w:kern w:val="0"/>
          <w:szCs w:val="24"/>
          <w:highlight w:val="none"/>
          <w:u w:val="none"/>
          <w:lang w:val="en-US" w:eastAsia="zh-CN"/>
        </w:rPr>
        <w:t>5.租期内租金不变，租金先付后用；前三期租金一年一付，第四期租金结算至2030年1月11日止，第四期租金为年租金成交价按实际租赁时间比例折算，</w:t>
      </w:r>
      <w:r>
        <w:rPr>
          <w:rFonts w:hint="eastAsia" w:ascii="宋体" w:hAnsi="宋体" w:cs="宋体"/>
          <w:color w:val="auto"/>
          <w:szCs w:val="24"/>
          <w:highlight w:val="none"/>
          <w:u w:val="single"/>
        </w:rPr>
        <w:t>下期租金应在上期租赁期限届满前1个月付清。</w:t>
      </w:r>
    </w:p>
    <w:p w14:paraId="41DDF03F">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元整（￥</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7"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120D2A9B">
      <w:pPr>
        <w:spacing w:line="380" w:lineRule="exact"/>
        <w:ind w:firstLine="513" w:firstLineChars="214"/>
        <w:rPr>
          <w:rFonts w:hint="eastAsia" w:ascii="宋体" w:hAnsi="宋体" w:cs="宋体"/>
          <w:sz w:val="24"/>
          <w:szCs w:val="24"/>
        </w:rPr>
      </w:pPr>
      <w:r>
        <w:rPr>
          <w:rFonts w:hint="eastAsia" w:ascii="宋体" w:hAnsi="宋体" w:cs="宋体"/>
          <w:sz w:val="24"/>
          <w:szCs w:val="24"/>
          <w:lang w:val="en-US" w:eastAsia="zh-CN"/>
        </w:rPr>
        <w:t>（一）</w:t>
      </w:r>
      <w:r>
        <w:rPr>
          <w:rFonts w:hint="eastAsia" w:ascii="宋体" w:hAnsi="宋体" w:cs="宋体"/>
          <w:sz w:val="24"/>
          <w:szCs w:val="24"/>
        </w:rPr>
        <w:t>租赁期内，因租赁标的所产生的一切税费及物业管理费（1元/月/㎡），均由</w:t>
      </w:r>
      <w:r>
        <w:rPr>
          <w:rFonts w:hint="eastAsia" w:ascii="宋体" w:hAnsi="宋体" w:cs="宋体"/>
          <w:sz w:val="24"/>
          <w:szCs w:val="24"/>
          <w:lang w:val="en-US" w:eastAsia="zh-CN"/>
        </w:rPr>
        <w:t>乙方</w:t>
      </w:r>
      <w:r>
        <w:rPr>
          <w:rFonts w:hint="eastAsia" w:ascii="宋体" w:hAnsi="宋体" w:cs="宋体"/>
          <w:sz w:val="24"/>
          <w:szCs w:val="24"/>
        </w:rPr>
        <w:t>自行承担，物业管理费缴纳时间由</w:t>
      </w:r>
      <w:r>
        <w:rPr>
          <w:rFonts w:hint="eastAsia" w:ascii="宋体" w:hAnsi="宋体" w:cs="宋体"/>
          <w:sz w:val="24"/>
          <w:szCs w:val="24"/>
          <w:lang w:val="en-US" w:eastAsia="zh-CN"/>
        </w:rPr>
        <w:t>甲方</w:t>
      </w:r>
      <w:r>
        <w:rPr>
          <w:rFonts w:hint="eastAsia" w:ascii="宋体" w:hAnsi="宋体" w:cs="宋体"/>
          <w:sz w:val="24"/>
          <w:szCs w:val="24"/>
        </w:rPr>
        <w:t>书面通知。</w:t>
      </w:r>
    </w:p>
    <w:p w14:paraId="7A673F6E">
      <w:pPr>
        <w:spacing w:line="380" w:lineRule="exact"/>
        <w:ind w:firstLine="513" w:firstLineChars="214"/>
        <w:rPr>
          <w:rFonts w:hint="eastAsia" w:ascii="宋体" w:hAnsi="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二</w:t>
      </w:r>
      <w:r>
        <w:rPr>
          <w:rFonts w:hint="eastAsia" w:ascii="宋体" w:hAnsi="宋体" w:cs="宋体"/>
          <w:sz w:val="24"/>
          <w:szCs w:val="24"/>
          <w:lang w:eastAsia="zh-CN"/>
        </w:rPr>
        <w:t>）</w:t>
      </w:r>
      <w:r>
        <w:rPr>
          <w:rFonts w:hint="eastAsia" w:ascii="宋体" w:hAnsi="宋体" w:cs="宋体"/>
          <w:sz w:val="24"/>
          <w:szCs w:val="24"/>
          <w:lang w:val="en-US" w:eastAsia="zh-CN"/>
        </w:rPr>
        <w:t>标的物</w:t>
      </w:r>
      <w:r>
        <w:rPr>
          <w:rFonts w:hint="eastAsia" w:ascii="宋体" w:hAnsi="宋体" w:cs="宋体"/>
          <w:sz w:val="24"/>
          <w:szCs w:val="24"/>
        </w:rPr>
        <w:t>尚未办理不动产权证，一切经营手续由</w:t>
      </w:r>
      <w:r>
        <w:rPr>
          <w:rFonts w:hint="eastAsia" w:ascii="宋体" w:hAnsi="宋体" w:cs="宋体"/>
          <w:sz w:val="24"/>
          <w:szCs w:val="24"/>
          <w:lang w:val="en-US" w:eastAsia="zh-CN"/>
        </w:rPr>
        <w:t>乙方</w:t>
      </w:r>
      <w:r>
        <w:rPr>
          <w:rFonts w:hint="eastAsia" w:ascii="宋体" w:hAnsi="宋体" w:cs="宋体"/>
          <w:sz w:val="24"/>
          <w:szCs w:val="24"/>
        </w:rPr>
        <w:t>自理；日常管理维护、消防安全及安全生产由</w:t>
      </w:r>
      <w:r>
        <w:rPr>
          <w:rFonts w:hint="eastAsia" w:ascii="宋体" w:hAnsi="宋体" w:cs="宋体"/>
          <w:sz w:val="24"/>
          <w:szCs w:val="24"/>
          <w:lang w:val="en-US" w:eastAsia="zh-CN"/>
        </w:rPr>
        <w:t>乙方</w:t>
      </w:r>
      <w:r>
        <w:rPr>
          <w:rFonts w:hint="eastAsia" w:ascii="宋体" w:hAnsi="宋体" w:cs="宋体"/>
          <w:sz w:val="24"/>
          <w:szCs w:val="24"/>
        </w:rPr>
        <w:t>负责，因</w:t>
      </w:r>
      <w:r>
        <w:rPr>
          <w:rFonts w:hint="eastAsia" w:ascii="宋体" w:hAnsi="宋体" w:cs="宋体"/>
          <w:sz w:val="24"/>
          <w:szCs w:val="24"/>
          <w:lang w:val="en-US" w:eastAsia="zh-CN"/>
        </w:rPr>
        <w:t>乙方</w:t>
      </w:r>
      <w:r>
        <w:rPr>
          <w:rFonts w:hint="eastAsia" w:ascii="宋体" w:hAnsi="宋体" w:cs="宋体"/>
          <w:sz w:val="24"/>
          <w:szCs w:val="24"/>
        </w:rPr>
        <w:t>使用与管理不当而产生的一切维修、侵权及整治等责任由</w:t>
      </w:r>
      <w:r>
        <w:rPr>
          <w:rFonts w:hint="eastAsia" w:ascii="宋体" w:hAnsi="宋体" w:cs="宋体"/>
          <w:sz w:val="24"/>
          <w:szCs w:val="24"/>
          <w:lang w:val="en-US" w:eastAsia="zh-CN"/>
        </w:rPr>
        <w:t>乙方自行</w:t>
      </w:r>
      <w:r>
        <w:rPr>
          <w:rFonts w:hint="eastAsia" w:ascii="宋体" w:hAnsi="宋体" w:cs="宋体"/>
          <w:sz w:val="24"/>
          <w:szCs w:val="24"/>
        </w:rPr>
        <w:t>承担。</w:t>
      </w:r>
    </w:p>
    <w:p w14:paraId="375E625C">
      <w:pPr>
        <w:spacing w:line="380" w:lineRule="exact"/>
        <w:ind w:firstLine="516" w:firstLineChars="214"/>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7951" w:firstLineChars="1800"/>
        <w:rPr>
          <w:rFonts w:hint="eastAsia"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77696" behindDoc="1" locked="0" layoutInCell="1" allowOverlap="1">
            <wp:simplePos x="0" y="0"/>
            <wp:positionH relativeFrom="column">
              <wp:posOffset>633095</wp:posOffset>
            </wp:positionH>
            <wp:positionV relativeFrom="paragraph">
              <wp:posOffset>-2518410</wp:posOffset>
            </wp:positionV>
            <wp:extent cx="5271770" cy="5833110"/>
            <wp:effectExtent l="0" t="0" r="5080" b="15240"/>
            <wp:wrapNone/>
            <wp:docPr id="21"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5E4A68F6">
      <w:pPr>
        <w:rPr>
          <w:rFonts w:hint="eastAsia"/>
        </w:rPr>
      </w:pPr>
    </w:p>
    <w:p w14:paraId="097B3CFB">
      <w:pP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r>
        <w:rPr>
          <w:sz w:val="21"/>
        </w:rPr>
        <mc:AlternateContent>
          <mc:Choice Requires="wps">
            <w:drawing>
              <wp:anchor distT="0" distB="0" distL="114300" distR="114300" simplePos="0" relativeHeight="251673600" behindDoc="0" locked="0" layoutInCell="1" allowOverlap="1">
                <wp:simplePos x="0" y="0"/>
                <wp:positionH relativeFrom="column">
                  <wp:posOffset>46355</wp:posOffset>
                </wp:positionH>
                <wp:positionV relativeFrom="paragraph">
                  <wp:posOffset>218440</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3.65pt;margin-top:17.2pt;height:94.5pt;width:478.5pt;z-index:251673600;mso-width-relative:page;mso-height-relative:page;" fillcolor="#FFFFFF" filled="t" stroked="t" coordsize="21600,21600" o:gfxdata="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&#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dBi0XVAAAACAEAAA8AAAAAAAAAAQAgAAAAIgAAAGRy&#10;cy9kb3ducmV2LnhtbFBLAQIUABQAAAAIAIdO4kD+qfviQQIAAMAEAAAOAAAAAAAAAAEAIAAAACQB&#10;AABkcnMvZTJvRG9jLnhtbFBLBQYAAAAABgAGAFkBAADXBQ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p>
    <w:p w14:paraId="1AA3D89D"/>
    <w:p w14:paraId="6DBFC8E5"/>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5D54D0">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135D54D0">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889B2F">
                          <w:pPr>
                            <w:pStyle w:val="5"/>
                          </w:pPr>
                          <w:r>
                            <w:t xml:space="preserve">第 </w:t>
                          </w:r>
                          <w:r>
                            <w:fldChar w:fldCharType="begin"/>
                          </w:r>
                          <w:r>
                            <w:instrText xml:space="preserve"> PAGE  \* MERGEFORMAT </w:instrText>
                          </w:r>
                          <w:r>
                            <w:fldChar w:fldCharType="separate"/>
                          </w:r>
                          <w:r>
                            <w:t>1</w:t>
                          </w:r>
                          <w:r>
                            <w:fldChar w:fldCharType="end"/>
                          </w:r>
                          <w:r>
                            <w:t xml:space="preserve"> 页 共</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07889B2F">
                    <w:pPr>
                      <w:pStyle w:val="5"/>
                    </w:pPr>
                    <w:r>
                      <w:t xml:space="preserve">第 </w:t>
                    </w:r>
                    <w:r>
                      <w:fldChar w:fldCharType="begin"/>
                    </w:r>
                    <w:r>
                      <w:instrText xml:space="preserve"> PAGE  \* MERGEFORMAT </w:instrText>
                    </w:r>
                    <w:r>
                      <w:fldChar w:fldCharType="separate"/>
                    </w:r>
                    <w:r>
                      <w:t>1</w:t>
                    </w:r>
                    <w:r>
                      <w:fldChar w:fldCharType="end"/>
                    </w:r>
                    <w:r>
                      <w:t xml:space="preserve"> 页 共</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2201D8C"/>
    <w:rsid w:val="026C4FD1"/>
    <w:rsid w:val="027125E7"/>
    <w:rsid w:val="038349CC"/>
    <w:rsid w:val="0464585D"/>
    <w:rsid w:val="05773E49"/>
    <w:rsid w:val="06092268"/>
    <w:rsid w:val="078B414B"/>
    <w:rsid w:val="09C83435"/>
    <w:rsid w:val="09CD0A4B"/>
    <w:rsid w:val="0B57681E"/>
    <w:rsid w:val="0BB97C7D"/>
    <w:rsid w:val="0FDE1338"/>
    <w:rsid w:val="0FFC1742"/>
    <w:rsid w:val="10596B94"/>
    <w:rsid w:val="127564C3"/>
    <w:rsid w:val="137A33A8"/>
    <w:rsid w:val="137A57A0"/>
    <w:rsid w:val="137F6218"/>
    <w:rsid w:val="145C30F7"/>
    <w:rsid w:val="15A83BB6"/>
    <w:rsid w:val="15B12CEC"/>
    <w:rsid w:val="180F7322"/>
    <w:rsid w:val="181B7855"/>
    <w:rsid w:val="18B67897"/>
    <w:rsid w:val="1B43776B"/>
    <w:rsid w:val="1CB03DF7"/>
    <w:rsid w:val="1EF82139"/>
    <w:rsid w:val="1FB0010B"/>
    <w:rsid w:val="1FBD4109"/>
    <w:rsid w:val="209061C6"/>
    <w:rsid w:val="222475A0"/>
    <w:rsid w:val="22974B03"/>
    <w:rsid w:val="22EF57B4"/>
    <w:rsid w:val="23A10665"/>
    <w:rsid w:val="24C30629"/>
    <w:rsid w:val="251A0B90"/>
    <w:rsid w:val="262502D3"/>
    <w:rsid w:val="26506C91"/>
    <w:rsid w:val="269E5313"/>
    <w:rsid w:val="26F03C3F"/>
    <w:rsid w:val="283A2C91"/>
    <w:rsid w:val="2B6C4BF0"/>
    <w:rsid w:val="2DEA252D"/>
    <w:rsid w:val="2E2C7045"/>
    <w:rsid w:val="2E443CD9"/>
    <w:rsid w:val="312E1520"/>
    <w:rsid w:val="333D173D"/>
    <w:rsid w:val="3375264B"/>
    <w:rsid w:val="36676139"/>
    <w:rsid w:val="36716136"/>
    <w:rsid w:val="36D27916"/>
    <w:rsid w:val="37893554"/>
    <w:rsid w:val="3957222B"/>
    <w:rsid w:val="3A034EA8"/>
    <w:rsid w:val="3AB76C60"/>
    <w:rsid w:val="3BA66882"/>
    <w:rsid w:val="44727C49"/>
    <w:rsid w:val="459B7C3D"/>
    <w:rsid w:val="45A12A58"/>
    <w:rsid w:val="46CF2C6D"/>
    <w:rsid w:val="46F52BC5"/>
    <w:rsid w:val="48AA50C6"/>
    <w:rsid w:val="4908796E"/>
    <w:rsid w:val="491D1E84"/>
    <w:rsid w:val="4B1F651E"/>
    <w:rsid w:val="4B653631"/>
    <w:rsid w:val="4B7D3443"/>
    <w:rsid w:val="4E4B5067"/>
    <w:rsid w:val="4E6F4B7C"/>
    <w:rsid w:val="4E7E7CA6"/>
    <w:rsid w:val="4E8314AE"/>
    <w:rsid w:val="4F7F76BE"/>
    <w:rsid w:val="4F894E59"/>
    <w:rsid w:val="4FBB5005"/>
    <w:rsid w:val="4FD57E9D"/>
    <w:rsid w:val="502344EE"/>
    <w:rsid w:val="52D153BA"/>
    <w:rsid w:val="54113319"/>
    <w:rsid w:val="548C0FD9"/>
    <w:rsid w:val="54971006"/>
    <w:rsid w:val="55631913"/>
    <w:rsid w:val="55832C1B"/>
    <w:rsid w:val="56CC0C73"/>
    <w:rsid w:val="590C503C"/>
    <w:rsid w:val="5943350B"/>
    <w:rsid w:val="594A0FC2"/>
    <w:rsid w:val="59F40CA9"/>
    <w:rsid w:val="5A3D43FE"/>
    <w:rsid w:val="5A490FF5"/>
    <w:rsid w:val="5A7B6781"/>
    <w:rsid w:val="5B3663E0"/>
    <w:rsid w:val="5C616110"/>
    <w:rsid w:val="5C910A31"/>
    <w:rsid w:val="5CB57990"/>
    <w:rsid w:val="5F942540"/>
    <w:rsid w:val="5FDC6467"/>
    <w:rsid w:val="61B52ACC"/>
    <w:rsid w:val="64963FE0"/>
    <w:rsid w:val="64EC4EE8"/>
    <w:rsid w:val="661A0B52"/>
    <w:rsid w:val="67FD341E"/>
    <w:rsid w:val="69C70C11"/>
    <w:rsid w:val="69CA53EB"/>
    <w:rsid w:val="6B835EC1"/>
    <w:rsid w:val="6CB111E1"/>
    <w:rsid w:val="6ED918DD"/>
    <w:rsid w:val="6EDC3D8E"/>
    <w:rsid w:val="6EED57F2"/>
    <w:rsid w:val="6F2A2D4B"/>
    <w:rsid w:val="7072514B"/>
    <w:rsid w:val="71D523D1"/>
    <w:rsid w:val="74FD05BA"/>
    <w:rsid w:val="75470D70"/>
    <w:rsid w:val="76171CE3"/>
    <w:rsid w:val="76E201B1"/>
    <w:rsid w:val="77552BAD"/>
    <w:rsid w:val="78D27567"/>
    <w:rsid w:val="78F85C68"/>
    <w:rsid w:val="7B031D5F"/>
    <w:rsid w:val="7BE44282"/>
    <w:rsid w:val="7CCB2490"/>
    <w:rsid w:val="7D511DBF"/>
    <w:rsid w:val="7EE92460"/>
    <w:rsid w:val="7F5300F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17">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12215</Words>
  <Characters>12510</Characters>
  <Lines>0</Lines>
  <Paragraphs>0</Paragraphs>
  <TotalTime>5</TotalTime>
  <ScaleCrop>false</ScaleCrop>
  <LinksUpToDate>false</LinksUpToDate>
  <CharactersWithSpaces>13676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Beakyhum</cp:lastModifiedBy>
  <cp:lastPrinted>2025-02-14T02:30:00Z</cp:lastPrinted>
  <dcterms:modified xsi:type="dcterms:W3CDTF">2026-06-02T00:45:26Z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3A4143739DD049D6817EDC359D7743D3_13</vt:lpwstr>
  </property>
  <property fmtid="{D5CDD505-2E9C-101B-9397-08002B2CF9AE}" pid="4" name="KSOTemplateDocerSaveRecord">
    <vt:lpwstr>eyJoZGlkIjoiNzYzNDZhZmRmZjM0NWUxNmJiOWFiNDI5YTEzYzUxNmEiLCJ1c2VySWQiOiIxNTk0MDAzNDA5In0=</vt:lpwstr>
  </property>
</Properties>
</file>