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温州市龙湾区天河街道高轩村铁皮市场两宗房产五年租赁权竞价文件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6月3日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F552EA5">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温州市龙湾区天河街道高轩村铁皮市场两宗房产五年</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2026年6月11日上午10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温州市龙湾区天河街道高轩村铁皮市场两宗房产五年租赁权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66"/>
        <w:gridCol w:w="1853"/>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66"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66" w:type="dxa"/>
            <w:tcBorders>
              <w:top w:val="single" w:color="000000" w:sz="4" w:space="0"/>
              <w:left w:val="single" w:color="000000" w:sz="4" w:space="0"/>
              <w:right w:val="single" w:color="000000" w:sz="4" w:space="0"/>
            </w:tcBorders>
            <w:noWrap w:val="0"/>
            <w:vAlign w:val="center"/>
          </w:tcPr>
          <w:p w14:paraId="4DBA6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温州市龙湾区天河街道高轩村铁皮市场第一幢东向三楼五年租赁权</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4A7342E0">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约475㎡</w:t>
            </w:r>
          </w:p>
        </w:tc>
        <w:tc>
          <w:tcPr>
            <w:tcW w:w="1747" w:type="dxa"/>
            <w:tcBorders>
              <w:top w:val="single" w:color="000000" w:sz="4" w:space="0"/>
              <w:left w:val="single" w:color="000000" w:sz="4" w:space="0"/>
              <w:right w:val="single" w:color="auto" w:sz="4" w:space="0"/>
            </w:tcBorders>
            <w:noWrap w:val="0"/>
            <w:vAlign w:val="center"/>
          </w:tcPr>
          <w:p w14:paraId="3A11A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60420元</w:t>
            </w:r>
          </w:p>
        </w:tc>
        <w:tc>
          <w:tcPr>
            <w:tcW w:w="112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6万元   </w:t>
            </w:r>
          </w:p>
        </w:tc>
      </w:tr>
      <w:tr w14:paraId="27C48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jc w:val="center"/>
        </w:trPr>
        <w:tc>
          <w:tcPr>
            <w:tcW w:w="706" w:type="dxa"/>
            <w:tcBorders>
              <w:top w:val="single" w:color="000000" w:sz="4" w:space="0"/>
              <w:left w:val="single" w:color="auto" w:sz="4" w:space="0"/>
              <w:right w:val="single" w:color="000000" w:sz="4" w:space="0"/>
            </w:tcBorders>
            <w:noWrap w:val="0"/>
            <w:vAlign w:val="center"/>
          </w:tcPr>
          <w:p w14:paraId="77C1D268">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66" w:type="dxa"/>
            <w:tcBorders>
              <w:top w:val="single" w:color="000000" w:sz="4" w:space="0"/>
              <w:left w:val="single" w:color="000000" w:sz="4" w:space="0"/>
              <w:right w:val="single" w:color="000000" w:sz="4" w:space="0"/>
            </w:tcBorders>
            <w:noWrap w:val="0"/>
            <w:vAlign w:val="center"/>
          </w:tcPr>
          <w:p w14:paraId="6A664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温州市龙湾区天河街道高轩村铁皮市场第五幢四楼五年租赁权</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407C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约1082㎡</w:t>
            </w:r>
          </w:p>
        </w:tc>
        <w:tc>
          <w:tcPr>
            <w:tcW w:w="1747" w:type="dxa"/>
            <w:tcBorders>
              <w:top w:val="single" w:color="000000" w:sz="4" w:space="0"/>
              <w:left w:val="single" w:color="000000" w:sz="4" w:space="0"/>
              <w:right w:val="single" w:color="auto" w:sz="4" w:space="0"/>
            </w:tcBorders>
            <w:noWrap w:val="0"/>
            <w:vAlign w:val="center"/>
          </w:tcPr>
          <w:p w14:paraId="700BA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127243元</w:t>
            </w:r>
          </w:p>
        </w:tc>
        <w:tc>
          <w:tcPr>
            <w:tcW w:w="1128" w:type="dxa"/>
            <w:tcBorders>
              <w:top w:val="single" w:color="000000" w:sz="4" w:space="0"/>
              <w:left w:val="nil"/>
              <w:right w:val="single" w:color="auto" w:sz="4" w:space="0"/>
            </w:tcBorders>
            <w:noWrap w:val="0"/>
            <w:vAlign w:val="center"/>
          </w:tcPr>
          <w:p w14:paraId="7F90A33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2.租赁用途须符合国家法律法规政策及环保要求。</w:t>
            </w:r>
          </w:p>
        </w:tc>
      </w:tr>
    </w:tbl>
    <w:p w14:paraId="5B8D2C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1F3EE74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报名对象及要求：</w:t>
      </w:r>
      <w:r>
        <w:rPr>
          <w:rFonts w:hint="eastAsia" w:ascii="宋体" w:hAnsi="宋体" w:cs="宋体"/>
          <w:sz w:val="24"/>
          <w:szCs w:val="24"/>
          <w:highlight w:val="none"/>
          <w:lang w:val="en-US" w:eastAsia="zh-CN"/>
        </w:rPr>
        <w:t>有效存续的企业法人。拖欠高轩村村集体租金的不可参与竞价。</w:t>
      </w:r>
    </w:p>
    <w:p w14:paraId="4BC4B4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-3703955</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2"/>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高轩村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租赁履约保证金为首年租金成交价的10%（取整数）</w:t>
      </w:r>
      <w:r>
        <w:rPr>
          <w:rFonts w:hint="eastAsia" w:ascii="宋体" w:hAnsi="宋体" w:cs="Times New Roman"/>
          <w:color w:val="auto"/>
          <w:sz w:val="24"/>
          <w:szCs w:val="24"/>
          <w:highlight w:val="none"/>
          <w:u w:val="none"/>
          <w:lang w:val="en-US" w:eastAsia="zh-CN"/>
        </w:rPr>
        <w:t>/标的</w:t>
      </w:r>
      <w:r>
        <w:rPr>
          <w:rFonts w:hint="eastAsia" w:ascii="宋体" w:hAnsi="宋体" w:eastAsia="宋体" w:cs="Times New Roman"/>
          <w:color w:val="auto"/>
          <w:sz w:val="24"/>
          <w:szCs w:val="24"/>
          <w:highlight w:val="none"/>
          <w:u w:val="none"/>
          <w:lang w:val="en-US" w:eastAsia="zh-CN"/>
        </w:rPr>
        <w:t>。</w:t>
      </w:r>
    </w:p>
    <w:p w14:paraId="6EBDD2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bookmarkStart w:id="0" w:name="_GoBack"/>
      <w:bookmarkEnd w:id="0"/>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2"/>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2"/>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2"/>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温州市龙湾区天河街道高轩村集体经济组织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6月3日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2026年6月3日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745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温州市龙湾区天河街道高轩村集体经济组织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66"/>
        <w:gridCol w:w="1853"/>
        <w:gridCol w:w="1747"/>
        <w:gridCol w:w="1128"/>
      </w:tblGrid>
      <w:tr w14:paraId="55EA4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B30AD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66" w:type="dxa"/>
            <w:tcBorders>
              <w:top w:val="single" w:color="000000" w:sz="4" w:space="0"/>
              <w:left w:val="single" w:color="000000" w:sz="4" w:space="0"/>
              <w:bottom w:val="single" w:color="000000" w:sz="4" w:space="0"/>
              <w:right w:val="single" w:color="000000" w:sz="4" w:space="0"/>
            </w:tcBorders>
            <w:noWrap w:val="0"/>
            <w:vAlign w:val="center"/>
          </w:tcPr>
          <w:p w14:paraId="1D1C69D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6872DB5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C258AE6">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43F72F18">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80C251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3D7D67D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714BE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right w:val="single" w:color="000000" w:sz="4" w:space="0"/>
            </w:tcBorders>
            <w:noWrap w:val="0"/>
            <w:vAlign w:val="center"/>
          </w:tcPr>
          <w:p w14:paraId="7ADC5CC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66" w:type="dxa"/>
            <w:tcBorders>
              <w:top w:val="single" w:color="000000" w:sz="4" w:space="0"/>
              <w:left w:val="single" w:color="000000" w:sz="4" w:space="0"/>
              <w:right w:val="single" w:color="000000" w:sz="4" w:space="0"/>
            </w:tcBorders>
            <w:noWrap w:val="0"/>
            <w:vAlign w:val="center"/>
          </w:tcPr>
          <w:p w14:paraId="758D7A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温州市龙湾区天河街道高轩村铁皮市场第一幢东向三楼五年租赁权</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22D76AB3">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约475㎡</w:t>
            </w:r>
          </w:p>
        </w:tc>
        <w:tc>
          <w:tcPr>
            <w:tcW w:w="1747" w:type="dxa"/>
            <w:tcBorders>
              <w:top w:val="single" w:color="000000" w:sz="4" w:space="0"/>
              <w:left w:val="single" w:color="000000" w:sz="4" w:space="0"/>
              <w:right w:val="single" w:color="auto" w:sz="4" w:space="0"/>
            </w:tcBorders>
            <w:noWrap w:val="0"/>
            <w:vAlign w:val="center"/>
          </w:tcPr>
          <w:p w14:paraId="1F891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60420元</w:t>
            </w:r>
          </w:p>
        </w:tc>
        <w:tc>
          <w:tcPr>
            <w:tcW w:w="1128" w:type="dxa"/>
            <w:tcBorders>
              <w:top w:val="single" w:color="000000" w:sz="4" w:space="0"/>
              <w:left w:val="nil"/>
              <w:right w:val="single" w:color="auto" w:sz="4" w:space="0"/>
            </w:tcBorders>
            <w:noWrap w:val="0"/>
            <w:vAlign w:val="center"/>
          </w:tcPr>
          <w:p w14:paraId="0ED954D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6万元   </w:t>
            </w:r>
          </w:p>
        </w:tc>
      </w:tr>
      <w:tr w14:paraId="60223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jc w:val="center"/>
        </w:trPr>
        <w:tc>
          <w:tcPr>
            <w:tcW w:w="706" w:type="dxa"/>
            <w:tcBorders>
              <w:top w:val="single" w:color="000000" w:sz="4" w:space="0"/>
              <w:left w:val="single" w:color="auto" w:sz="4" w:space="0"/>
              <w:right w:val="single" w:color="000000" w:sz="4" w:space="0"/>
            </w:tcBorders>
            <w:noWrap w:val="0"/>
            <w:vAlign w:val="center"/>
          </w:tcPr>
          <w:p w14:paraId="38CDA76B">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66" w:type="dxa"/>
            <w:tcBorders>
              <w:top w:val="single" w:color="000000" w:sz="4" w:space="0"/>
              <w:left w:val="single" w:color="000000" w:sz="4" w:space="0"/>
              <w:right w:val="single" w:color="000000" w:sz="4" w:space="0"/>
            </w:tcBorders>
            <w:noWrap w:val="0"/>
            <w:vAlign w:val="center"/>
          </w:tcPr>
          <w:p w14:paraId="6CBD6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温州市龙湾区天河街道高轩村铁皮市场第五幢四楼五年租赁权</w:t>
            </w:r>
          </w:p>
        </w:tc>
        <w:tc>
          <w:tcPr>
            <w:tcW w:w="1853" w:type="dxa"/>
            <w:tcBorders>
              <w:top w:val="single" w:color="000000" w:sz="4" w:space="0"/>
              <w:left w:val="single" w:color="000000" w:sz="4" w:space="0"/>
              <w:bottom w:val="single" w:color="000000" w:sz="4" w:space="0"/>
              <w:right w:val="single" w:color="000000" w:sz="4" w:space="0"/>
            </w:tcBorders>
            <w:noWrap w:val="0"/>
            <w:vAlign w:val="center"/>
          </w:tcPr>
          <w:p w14:paraId="567CF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约1082㎡</w:t>
            </w:r>
          </w:p>
        </w:tc>
        <w:tc>
          <w:tcPr>
            <w:tcW w:w="1747" w:type="dxa"/>
            <w:tcBorders>
              <w:top w:val="single" w:color="000000" w:sz="4" w:space="0"/>
              <w:left w:val="single" w:color="000000" w:sz="4" w:space="0"/>
              <w:right w:val="single" w:color="auto" w:sz="4" w:space="0"/>
            </w:tcBorders>
            <w:noWrap w:val="0"/>
            <w:vAlign w:val="center"/>
          </w:tcPr>
          <w:p w14:paraId="64CA3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127243元</w:t>
            </w:r>
          </w:p>
        </w:tc>
        <w:tc>
          <w:tcPr>
            <w:tcW w:w="1128" w:type="dxa"/>
            <w:tcBorders>
              <w:top w:val="single" w:color="000000" w:sz="4" w:space="0"/>
              <w:left w:val="nil"/>
              <w:right w:val="single" w:color="auto" w:sz="4" w:space="0"/>
            </w:tcBorders>
            <w:noWrap w:val="0"/>
            <w:vAlign w:val="center"/>
          </w:tcPr>
          <w:p w14:paraId="0C71D65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12万元</w:t>
            </w:r>
          </w:p>
        </w:tc>
      </w:tr>
      <w:tr w14:paraId="122C5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4B79C1A0">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租期5年，租金（不含税）一年一付，先付后用，第1-3年租金为竞价成交价，第4-5年租金在第3年租金基础上递增3%。</w:t>
            </w:r>
          </w:p>
          <w:p w14:paraId="3D43F26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2.租赁用途须符合国家法律法规政策及环保要求。</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973B4B0">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4、一经发现竞价人拖欠</w:t>
      </w:r>
      <w:r>
        <w:rPr>
          <w:rFonts w:hint="eastAsia" w:ascii="宋体" w:hAnsi="宋体" w:cs="宋体"/>
          <w:b/>
          <w:bCs/>
          <w:color w:val="auto"/>
          <w:sz w:val="24"/>
          <w:szCs w:val="24"/>
          <w:lang w:val="en-US" w:eastAsia="zh-CN"/>
        </w:rPr>
        <w:t>高轩村</w:t>
      </w:r>
      <w:r>
        <w:rPr>
          <w:rFonts w:hint="eastAsia" w:ascii="宋体" w:hAnsi="宋体" w:eastAsia="宋体" w:cs="宋体"/>
          <w:b/>
          <w:bCs/>
          <w:color w:val="auto"/>
          <w:sz w:val="24"/>
          <w:szCs w:val="24"/>
          <w:lang w:val="en-US" w:eastAsia="zh-CN"/>
        </w:rPr>
        <w:t>集体租金或其他不符合竞价对象条件的，竞价保证金不予退还。</w:t>
      </w:r>
    </w:p>
    <w:p w14:paraId="62772C61">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5、若竞得人存在拖欠</w:t>
      </w:r>
      <w:r>
        <w:rPr>
          <w:rFonts w:hint="eastAsia" w:ascii="宋体" w:hAnsi="宋体" w:cs="宋体"/>
          <w:b/>
          <w:bCs/>
          <w:color w:val="auto"/>
          <w:sz w:val="24"/>
          <w:szCs w:val="24"/>
          <w:lang w:val="en-US" w:eastAsia="zh-CN"/>
        </w:rPr>
        <w:t>高轩村</w:t>
      </w:r>
      <w:r>
        <w:rPr>
          <w:rFonts w:hint="eastAsia" w:ascii="宋体" w:hAnsi="宋体" w:eastAsia="宋体" w:cs="宋体"/>
          <w:b/>
          <w:bCs/>
          <w:color w:val="auto"/>
          <w:sz w:val="24"/>
          <w:szCs w:val="24"/>
          <w:lang w:val="en-US" w:eastAsia="zh-CN"/>
        </w:rPr>
        <w:t>集体租金或其他不符合竞价对象条件的情况，则取消成交结果，除竞价保证金不予退还外，并承担相应责任。</w:t>
      </w:r>
    </w:p>
    <w:p w14:paraId="6A1BC12F">
      <w:pPr>
        <w:pStyle w:val="2"/>
        <w:keepNext w:val="0"/>
        <w:keepLines w:val="0"/>
        <w:pageBreakBefore w:val="0"/>
        <w:widowControl w:val="0"/>
        <w:kinsoku/>
        <w:wordWrap/>
        <w:overflowPunct/>
        <w:topLinePunct w:val="0"/>
        <w:autoSpaceDE/>
        <w:autoSpaceDN/>
        <w:bidi w:val="0"/>
        <w:adjustRightInd/>
        <w:snapToGrid/>
        <w:ind w:left="102" w:firstLine="480" w:firstLineChars="200"/>
        <w:textAlignment w:val="auto"/>
        <w:rPr>
          <w:rFonts w:hint="default"/>
          <w:b w:val="0"/>
          <w:bCs w:val="0"/>
          <w:lang w:val="en-US" w:eastAsia="zh-CN"/>
        </w:rPr>
      </w:pPr>
      <w:r>
        <w:rPr>
          <w:rFonts w:hint="eastAsia" w:cs="宋体"/>
          <w:b w:val="0"/>
          <w:bCs w:val="0"/>
          <w:color w:val="auto"/>
          <w:sz w:val="24"/>
          <w:szCs w:val="24"/>
          <w:lang w:val="en-US" w:eastAsia="zh-CN"/>
        </w:rPr>
        <w:t>6、一号标的原租赁合同至2026年6月1日止。</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236855</wp:posOffset>
            </wp:positionH>
            <wp:positionV relativeFrom="paragraph">
              <wp:posOffset>-4162425</wp:posOffset>
            </wp:positionV>
            <wp:extent cx="5271770" cy="5833110"/>
            <wp:effectExtent l="0" t="0" r="5080" b="15240"/>
            <wp:wrapNone/>
            <wp:docPr id="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-3211830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2026年6月3日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2"/>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950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2"/>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6月10日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2"/>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租期5年，租金（不含税）一年一付，先付后用，第1-3年租金不递增，第4-5年在第3年租金基础上递增3%。</w:t>
      </w:r>
    </w:p>
    <w:p w14:paraId="47D90C0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具体租赁事项以竞得人与温州市龙湾区天河街道高轩村集体经济组织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63D2CD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AE3220E">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温州市龙湾区天河街道高轩村集体经济组织      </w:t>
      </w:r>
      <w:r>
        <w:rPr>
          <w:rFonts w:hint="eastAsia" w:ascii="宋体" w:hAnsi="宋体" w:cs="宋体"/>
          <w:color w:val="auto"/>
          <w:sz w:val="24"/>
          <w:szCs w:val="24"/>
          <w:highlight w:val="none"/>
        </w:rPr>
        <w:t>（以下简称甲方）</w:t>
      </w:r>
    </w:p>
    <w:p w14:paraId="1ED25689">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7D6D522">
      <w:pPr>
        <w:keepNext w:val="0"/>
        <w:keepLines w:val="0"/>
        <w:pageBreakBefore w:val="0"/>
        <w:widowControl w:val="0"/>
        <w:kinsoku/>
        <w:overflowPunct/>
        <w:topLinePunct w:val="0"/>
        <w:autoSpaceDE/>
        <w:autoSpaceDN/>
        <w:bidi w:val="0"/>
        <w:adjustRightInd/>
        <w:snapToGrid/>
        <w:spacing w:line="400" w:lineRule="exact"/>
        <w:ind w:left="388" w:leftChars="185" w:firstLine="240" w:firstLineChars="1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96C4AB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9C7648">
      <w:pPr>
        <w:keepNext w:val="0"/>
        <w:keepLines w:val="0"/>
        <w:pageBreakBefore w:val="0"/>
        <w:widowControl w:val="0"/>
        <w:kinsoku/>
        <w:wordWrap w:val="0"/>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w:t>
      </w:r>
      <w:r>
        <w:rPr>
          <w:rFonts w:hint="eastAsia" w:ascii="宋体" w:hAnsi="宋体" w:cs="宋体"/>
          <w:color w:val="auto"/>
          <w:sz w:val="24"/>
          <w:szCs w:val="24"/>
          <w:highlight w:val="none"/>
          <w:lang w:val="en-US" w:eastAsia="zh-CN"/>
        </w:rPr>
        <w:t>建筑</w:t>
      </w:r>
      <w:r>
        <w:rPr>
          <w:rFonts w:hint="eastAsia" w:ascii="宋体" w:hAnsi="宋体" w:cs="宋体"/>
          <w:color w:val="auto"/>
          <w:sz w:val="24"/>
          <w:szCs w:val="24"/>
          <w:highlight w:val="none"/>
        </w:rPr>
        <w:t>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D57A21">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4643BD0">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7E83D9AF">
      <w:pPr>
        <w:pStyle w:val="4"/>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4298175">
      <w:pPr>
        <w:pStyle w:val="4"/>
        <w:keepNext w:val="0"/>
        <w:keepLines w:val="0"/>
        <w:pageBreakBefore w:val="0"/>
        <w:widowControl w:val="0"/>
        <w:kinsoku/>
        <w:overflowPunct/>
        <w:topLinePunct w:val="0"/>
        <w:autoSpaceDE/>
        <w:autoSpaceDN/>
        <w:bidi w:val="0"/>
        <w:adjustRightInd/>
        <w:snapToGrid/>
        <w:spacing w:line="400" w:lineRule="exact"/>
        <w:ind w:firstLine="482"/>
        <w:textAlignment w:val="auto"/>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7A89652">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（一）租金及交付期限</w:t>
      </w:r>
    </w:p>
    <w:p w14:paraId="3A9B3E9B">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F8C5647">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18F9BD6">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BF09397">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0F08C9">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9ECCAD0">
      <w:pPr>
        <w:pStyle w:val="4"/>
        <w:keepNext w:val="0"/>
        <w:keepLines w:val="0"/>
        <w:pageBreakBefore w:val="0"/>
        <w:widowControl w:val="0"/>
        <w:kinsoku/>
        <w:overflowPunct/>
        <w:topLinePunct w:val="0"/>
        <w:autoSpaceDE/>
        <w:autoSpaceDN/>
        <w:bidi w:val="0"/>
        <w:adjustRightInd/>
        <w:snapToGrid/>
        <w:spacing w:line="400" w:lineRule="exact"/>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-4150360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Cs w:val="24"/>
          <w:highlight w:val="none"/>
          <w:u w:val="single"/>
          <w:lang w:val="en-US" w:eastAsia="zh-CN"/>
        </w:rPr>
        <w:t>1-3年租金不递增，第4-5年在第3年租金基础上递增3%。</w:t>
      </w:r>
      <w:r>
        <w:rPr>
          <w:rFonts w:hint="eastAsia" w:ascii="宋体" w:hAnsi="宋体" w:cs="宋体"/>
          <w:color w:val="auto"/>
          <w:szCs w:val="24"/>
          <w:highlight w:val="none"/>
          <w:u w:val="single"/>
          <w:lang w:val="en-US" w:eastAsia="zh-CN"/>
        </w:rPr>
        <w:t>下期租金应在上期租赁期限届满前1个月付清。</w:t>
      </w:r>
    </w:p>
    <w:p w14:paraId="5BFAD865">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B528B27">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年租金后向乙方开具</w:t>
      </w:r>
      <w:r>
        <w:rPr>
          <w:rFonts w:hint="eastAsia" w:ascii="宋体" w:hAnsi="宋体" w:cs="宋体"/>
          <w:sz w:val="24"/>
          <w:szCs w:val="24"/>
          <w:lang w:val="en-US" w:eastAsia="zh-CN"/>
        </w:rPr>
        <w:t>租金发票，租赁税等一切租赁期间产生的税、费均由乙方承担并结算（含甲方因租赁关系需向税务等有关部门缴纳的一切税费）</w:t>
      </w:r>
      <w:r>
        <w:rPr>
          <w:rFonts w:hint="eastAsia" w:ascii="宋体" w:hAnsi="宋体" w:cs="宋体"/>
          <w:color w:val="auto"/>
          <w:szCs w:val="24"/>
          <w:highlight w:val="none"/>
        </w:rPr>
        <w:t>。</w:t>
      </w:r>
    </w:p>
    <w:p w14:paraId="23E9774C">
      <w:pPr>
        <w:pStyle w:val="4"/>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FABC3B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03E15F5A">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CD7E1B">
      <w:pPr>
        <w:keepNext w:val="0"/>
        <w:keepLines w:val="0"/>
        <w:pageBreakBefore w:val="0"/>
        <w:widowControl w:val="0"/>
        <w:tabs>
          <w:tab w:val="left" w:pos="1620"/>
          <w:tab w:val="left" w:pos="1800"/>
        </w:tabs>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7ADB030F">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D879C5B">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88FF7D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0F56785">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7C61B0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F9C3E7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-2245360</wp:posOffset>
            </wp:positionV>
            <wp:extent cx="5271770" cy="5833110"/>
            <wp:effectExtent l="0" t="0" r="5080" b="15240"/>
            <wp:wrapNone/>
            <wp:docPr id="3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1D71DD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DC73862">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DBDC24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76E0D8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0D9A44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5327F2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0ED151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534970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7F5D6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9DDCF4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6711B8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60F6DF9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490B18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47468C5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B223C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982D17">
      <w:pPr>
        <w:pStyle w:val="4"/>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659EFA4">
      <w:pPr>
        <w:pStyle w:val="4"/>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80AD4">
      <w:pPr>
        <w:pStyle w:val="4"/>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03A0D0A">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AE903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7650B50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AB4F2A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58BEF6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-3515360</wp:posOffset>
            </wp:positionV>
            <wp:extent cx="5271770" cy="5833110"/>
            <wp:effectExtent l="0" t="0" r="5080" b="15240"/>
            <wp:wrapNone/>
            <wp:docPr id="3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现符合上述第（三）、（四）款单方解除合同情形时，守约方解除合同的书面通知送达对方时生效，生效当天本合同解除。</w:t>
      </w:r>
    </w:p>
    <w:p w14:paraId="093042B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357F9C57">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E831E5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36AFC9D">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91D76CA">
      <w:pPr>
        <w:keepNext w:val="0"/>
        <w:keepLines w:val="0"/>
        <w:pageBreakBefore w:val="0"/>
        <w:widowControl w:val="0"/>
        <w:tabs>
          <w:tab w:val="left" w:pos="2520"/>
        </w:tabs>
        <w:kinsoku/>
        <w:overflowPunct/>
        <w:topLinePunct w:val="0"/>
        <w:autoSpaceDE/>
        <w:autoSpaceDN/>
        <w:bidi w:val="0"/>
        <w:adjustRightInd/>
        <w:snapToGrid/>
        <w:spacing w:line="400" w:lineRule="exact"/>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038A7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161A0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33F48A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0730F5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362BE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B380EFC">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FA8DDC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750AD58E">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5EB5B38">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427721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-2499360</wp:posOffset>
            </wp:positionV>
            <wp:extent cx="5271770" cy="5833110"/>
            <wp:effectExtent l="0" t="0" r="5080" b="15240"/>
            <wp:wrapNone/>
            <wp:docPr id="3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、合同、劳资等纠纷或者责任事故，由乙方自行负责，与甲方无关。</w:t>
      </w:r>
    </w:p>
    <w:p w14:paraId="3CAF56FA">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23B296A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6895C7CE">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B1F81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1F49306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AB9AE2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017BE5C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0D7AC39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05D5E457">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51CE872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6FACFE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4D0077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8E9FBE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0961585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A6DEC5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39C04BC2">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u w:val="none"/>
          <w:lang w:eastAsia="zh-CN"/>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一</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租赁物</w:t>
      </w:r>
      <w:r>
        <w:rPr>
          <w:rFonts w:hint="eastAsia" w:ascii="宋体" w:hAnsi="宋体" w:cs="宋体"/>
          <w:b w:val="0"/>
          <w:bCs/>
          <w:sz w:val="24"/>
          <w:szCs w:val="24"/>
          <w:u w:val="none"/>
        </w:rPr>
        <w:t>生产安全、消防安全等一切责任均由</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自行承担</w:t>
      </w:r>
      <w:r>
        <w:rPr>
          <w:rFonts w:hint="eastAsia" w:ascii="宋体" w:hAnsi="宋体" w:cs="宋体"/>
          <w:b w:val="0"/>
          <w:bCs/>
          <w:sz w:val="24"/>
          <w:szCs w:val="24"/>
          <w:u w:val="none"/>
          <w:lang w:eastAsia="zh-CN"/>
        </w:rPr>
        <w:t>。</w:t>
      </w:r>
    </w:p>
    <w:p w14:paraId="70700E2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91D84C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38BD4497">
      <w:pPr>
        <w:keepNext w:val="0"/>
        <w:keepLines w:val="0"/>
        <w:pageBreakBefore w:val="0"/>
        <w:widowControl w:val="0"/>
        <w:kinsoku/>
        <w:overflowPunct/>
        <w:topLinePunct w:val="0"/>
        <w:autoSpaceDE/>
        <w:autoSpaceDN/>
        <w:bidi w:val="0"/>
        <w:adjustRightInd/>
        <w:snapToGrid/>
        <w:spacing w:line="400" w:lineRule="exact"/>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DE4A5D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0D6E26F">
      <w:pPr>
        <w:pStyle w:val="4"/>
        <w:keepNext w:val="0"/>
        <w:keepLines w:val="0"/>
        <w:pageBreakBefore w:val="0"/>
        <w:widowControl w:val="0"/>
        <w:kinsoku/>
        <w:overflowPunct/>
        <w:topLinePunct w:val="0"/>
        <w:autoSpaceDE/>
        <w:autoSpaceDN/>
        <w:bidi w:val="0"/>
        <w:adjustRightInd/>
        <w:snapToGrid/>
        <w:spacing w:line="400" w:lineRule="exact"/>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6115F3D">
      <w:pPr>
        <w:pStyle w:val="4"/>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5A867D52">
      <w:pPr>
        <w:pStyle w:val="4"/>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46B1975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4B5996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FBA7F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7E452FAA">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-1991360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8215E9">
      <w:pPr>
        <w:spacing w:line="380" w:lineRule="exact"/>
        <w:ind w:right="480" w:firstLine="4320" w:firstLineChars="1800"/>
        <w:rPr>
          <w:rFonts w:hint="eastAsia" w:ascii="宋体" w:hAnsi="宋体" w:cs="宋体"/>
          <w:sz w:val="24"/>
          <w:szCs w:val="24"/>
        </w:rPr>
      </w:pPr>
    </w:p>
    <w:p w14:paraId="60C2C477">
      <w:pPr>
        <w:spacing w:line="380" w:lineRule="exact"/>
        <w:ind w:right="480" w:firstLine="4320" w:firstLineChars="1800"/>
        <w:rPr>
          <w:rFonts w:hint="eastAsia" w:ascii="宋体" w:hAnsi="宋体" w:cs="宋体"/>
          <w:sz w:val="24"/>
          <w:szCs w:val="24"/>
        </w:rPr>
      </w:pPr>
    </w:p>
    <w:p w14:paraId="7D039B2B">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E81AB72">
      <w:pPr>
        <w:spacing w:line="380" w:lineRule="exact"/>
        <w:ind w:right="480" w:firstLine="4320" w:firstLineChars="1800"/>
        <w:rPr>
          <w:rFonts w:hint="eastAsia" w:ascii="宋体" w:hAnsi="宋体" w:cs="宋体"/>
          <w:sz w:val="24"/>
          <w:szCs w:val="24"/>
        </w:rPr>
      </w:pPr>
    </w:p>
    <w:p w14:paraId="1674BCF9">
      <w:pPr>
        <w:spacing w:line="380" w:lineRule="exact"/>
        <w:ind w:right="480" w:firstLine="4320" w:firstLineChars="1800"/>
        <w:rPr>
          <w:rFonts w:hint="eastAsia" w:ascii="宋体" w:hAnsi="宋体" w:cs="宋体"/>
          <w:sz w:val="24"/>
          <w:szCs w:val="24"/>
        </w:rPr>
      </w:pPr>
    </w:p>
    <w:p w14:paraId="6FAE1BAE">
      <w:pPr>
        <w:spacing w:line="380" w:lineRule="exact"/>
        <w:ind w:right="480" w:firstLine="4320" w:firstLineChars="1800"/>
        <w:rPr>
          <w:rFonts w:hint="eastAsia" w:ascii="宋体" w:hAnsi="宋体" w:cs="宋体"/>
          <w:sz w:val="24"/>
          <w:szCs w:val="24"/>
        </w:rPr>
      </w:pPr>
    </w:p>
    <w:p w14:paraId="4811D52D">
      <w:pPr>
        <w:spacing w:line="380" w:lineRule="exact"/>
        <w:ind w:right="480" w:firstLine="4320" w:firstLineChars="1800"/>
        <w:rPr>
          <w:rFonts w:hint="eastAsia" w:ascii="宋体" w:hAnsi="宋体" w:cs="宋体"/>
          <w:sz w:val="24"/>
          <w:szCs w:val="24"/>
        </w:rPr>
      </w:pPr>
    </w:p>
    <w:p w14:paraId="775DE9CF">
      <w:pPr>
        <w:spacing w:line="380" w:lineRule="exact"/>
        <w:ind w:right="480" w:firstLine="4320" w:firstLineChars="1800"/>
        <w:rPr>
          <w:rFonts w:hint="eastAsia" w:ascii="宋体" w:hAnsi="宋体" w:cs="宋体"/>
          <w:sz w:val="24"/>
          <w:szCs w:val="24"/>
        </w:rPr>
      </w:pPr>
    </w:p>
    <w:p w14:paraId="2235196E">
      <w:pPr>
        <w:spacing w:line="380" w:lineRule="exact"/>
        <w:ind w:right="480" w:firstLine="4320" w:firstLineChars="1800"/>
        <w:rPr>
          <w:rFonts w:hint="eastAsia" w:ascii="宋体" w:hAnsi="宋体" w:cs="宋体"/>
          <w:sz w:val="24"/>
          <w:szCs w:val="24"/>
        </w:rPr>
      </w:pPr>
    </w:p>
    <w:p w14:paraId="6570A996">
      <w:pPr>
        <w:spacing w:line="380" w:lineRule="exact"/>
        <w:ind w:right="480" w:firstLine="4320" w:firstLineChars="1800"/>
        <w:rPr>
          <w:rFonts w:hint="eastAsia" w:ascii="宋体" w:hAnsi="宋体" w:cs="宋体"/>
          <w:sz w:val="24"/>
          <w:szCs w:val="24"/>
        </w:rPr>
      </w:pPr>
    </w:p>
    <w:p w14:paraId="55ADA127">
      <w:pPr>
        <w:spacing w:line="380" w:lineRule="exact"/>
        <w:ind w:right="480" w:firstLine="4320" w:firstLineChars="1800"/>
        <w:rPr>
          <w:rFonts w:hint="eastAsia" w:ascii="宋体" w:hAnsi="宋体" w:cs="宋体"/>
          <w:sz w:val="24"/>
          <w:szCs w:val="24"/>
        </w:rPr>
      </w:pPr>
    </w:p>
    <w:p w14:paraId="7B292491">
      <w:pPr>
        <w:spacing w:line="380" w:lineRule="exact"/>
        <w:ind w:right="480" w:firstLine="4320" w:firstLineChars="1800"/>
        <w:rPr>
          <w:rFonts w:hint="eastAsia" w:ascii="宋体" w:hAnsi="宋体" w:cs="宋体"/>
          <w:sz w:val="24"/>
          <w:szCs w:val="24"/>
        </w:rPr>
      </w:pPr>
    </w:p>
    <w:p w14:paraId="14AEED24">
      <w:pPr>
        <w:spacing w:line="380" w:lineRule="exact"/>
        <w:ind w:right="480"/>
        <w:rPr>
          <w:rFonts w:hint="eastAsia" w:ascii="宋体" w:hAnsi="宋体" w:cs="宋体"/>
          <w:sz w:val="24"/>
          <w:szCs w:val="24"/>
        </w:rPr>
      </w:pPr>
    </w:p>
    <w:p w14:paraId="5533F2B5">
      <w:pPr>
        <w:pStyle w:val="2"/>
        <w:rPr>
          <w:rFonts w:hint="eastAsia"/>
        </w:rPr>
      </w:pPr>
    </w:p>
    <w:p w14:paraId="388AD7F1">
      <w:pPr>
        <w:spacing w:line="380" w:lineRule="exact"/>
        <w:ind w:right="480"/>
        <w:rPr>
          <w:rFonts w:hint="eastAsia" w:ascii="宋体" w:hAnsi="宋体" w:cs="宋体"/>
          <w:sz w:val="24"/>
          <w:szCs w:val="24"/>
        </w:rPr>
      </w:pPr>
    </w:p>
    <w:p w14:paraId="0B986B21">
      <w:pPr>
        <w:tabs>
          <w:tab w:val="left" w:pos="0"/>
          <w:tab w:val="center" w:pos="4200"/>
        </w:tabs>
        <w:spacing w:line="520" w:lineRule="exact"/>
        <w:ind w:right="105" w:rightChars="50"/>
        <w:jc w:val="both"/>
        <w:rPr>
          <w:rFonts w:hint="eastAsia" w:ascii="黑体" w:hAnsi="黑体" w:eastAsia="黑体" w:cs="黑体"/>
          <w:sz w:val="36"/>
          <w:szCs w:val="36"/>
        </w:rPr>
      </w:pPr>
    </w:p>
    <w:p w14:paraId="7D1AA312">
      <w:pPr>
        <w:tabs>
          <w:tab w:val="left" w:pos="0"/>
          <w:tab w:val="center" w:pos="4200"/>
        </w:tabs>
        <w:spacing w:line="520" w:lineRule="exact"/>
        <w:ind w:right="105" w:rightChars="50"/>
        <w:jc w:val="center"/>
        <w:rPr>
          <w:rFonts w:hint="eastAsia" w:ascii="黑体" w:hAnsi="黑体" w:eastAsia="黑体" w:cs="黑体"/>
          <w:sz w:val="36"/>
          <w:szCs w:val="36"/>
        </w:rPr>
      </w:pPr>
    </w:p>
    <w:p w14:paraId="18665C33">
      <w:pPr>
        <w:pStyle w:val="2"/>
        <w:rPr>
          <w:rFonts w:hint="eastAsia"/>
        </w:rPr>
      </w:pPr>
    </w:p>
    <w:p w14:paraId="78056E3F">
      <w:pPr>
        <w:rPr>
          <w:rFonts w:hint="eastAsia"/>
        </w:rPr>
      </w:pPr>
    </w:p>
    <w:p w14:paraId="27A3F40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6617A39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626AA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1421A5F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5677F767">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577CFC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A838C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B8997FE">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EA1120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515CA4D">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35EA30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62DA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724065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01A36A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B74BB3">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82CD249">
      <w:pPr>
        <w:spacing w:line="380" w:lineRule="exact"/>
        <w:rPr>
          <w:rFonts w:hint="eastAsia" w:ascii="宋体" w:hAnsi="宋体" w:cs="宋体"/>
          <w:sz w:val="21"/>
          <w:szCs w:val="21"/>
        </w:rPr>
      </w:pPr>
    </w:p>
    <w:p w14:paraId="6D90AE0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F0E7A3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21C299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D8960DD">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3AB3402">
      <w:pPr>
        <w:pStyle w:val="18"/>
        <w:spacing w:line="380" w:lineRule="exact"/>
        <w:ind w:firstLine="3885" w:firstLineChars="1850"/>
        <w:rPr>
          <w:rFonts w:hint="eastAsia" w:ascii="华文仿宋" w:hAnsi="华文仿宋" w:eastAsia="华文仿宋" w:cs="华文仿宋"/>
          <w:sz w:val="21"/>
          <w:szCs w:val="21"/>
        </w:rPr>
      </w:pPr>
    </w:p>
    <w:p w14:paraId="593DD76B">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052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v:textbox>
              </v:shape>
            </w:pict>
          </mc:Fallback>
        </mc:AlternateContent>
      </w:r>
    </w:p>
    <w:p w14:paraId="0E3C7DA2"/>
    <w:p w14:paraId="06B8AB2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6"/>
      <w:framePr w:wrap="around" w:vAnchor="text" w:hAnchor="margin" w:xAlign="center" w:y="1"/>
      <w:rPr>
        <w:rStyle w:val="14"/>
        <w:rFonts w:hint="eastAsia"/>
      </w:rPr>
    </w:pPr>
  </w:p>
  <w:p w14:paraId="5F1EFC6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F6B78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245EF"/>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31BBF"/>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9D4AE3"/>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4F77D9"/>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431740"/>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9F2D8C"/>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2B7450"/>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4817</Words>
  <Characters>4977</Characters>
  <Lines>74</Lines>
  <Paragraphs>20</Paragraphs>
  <TotalTime>5</TotalTime>
  <ScaleCrop>false</ScaleCrop>
  <LinksUpToDate>false</LinksUpToDate>
  <CharactersWithSpaces>5312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2026-06-03T00:52:53Z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ECC01751072F4F5A9473C982E340C2FA_13</vt:lpwstr>
  </property>
  <property fmtid="{D5CDD505-2E9C-101B-9397-08002B2CF9AE}" pid="4" name="KSOTemplateDocerSaveRecord">
    <vt:lpwstr>eyJoZGlkIjoiZWY3YzVmZWRlOTZkZTAyYmRiYmYxNjRkOTE5OWVjNGEiLCJ1c2VySWQiOiIzODY3MjAwMTYifQ==</vt:lpwstr>
  </property>
</Properties>
</file>