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温州经济开发区天河街道岙底交通隧道集团后勤基地附属用地六宗厂房一年租赁权竞价文件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2026年7月17日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温州经济开发区天河街道岙底交通隧道集团后勤基地附属用地六宗厂房一年租赁权竞价公告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2026年7月27日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2026年7月28日上午10时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温州经济开发区天河街道岙底交通隧道集团后勤基地附属用地六宗厂房一年租赁权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90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300"/>
        <w:gridCol w:w="1785"/>
        <w:gridCol w:w="1545"/>
        <w:gridCol w:w="1375"/>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00"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375"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000CC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59" w:type="dxa"/>
            <w:tcBorders>
              <w:top w:val="single" w:color="000000" w:sz="4" w:space="0"/>
              <w:left w:val="single" w:color="auto"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300" w:type="dxa"/>
            <w:tcBorders>
              <w:top w:val="single" w:color="000000" w:sz="4" w:space="0"/>
              <w:left w:val="single" w:color="000000" w:sz="4" w:space="0"/>
              <w:right w:val="single" w:color="000000" w:sz="4" w:space="0"/>
            </w:tcBorders>
            <w:noWrap w:val="0"/>
            <w:vAlign w:val="center"/>
          </w:tcPr>
          <w:p w14:paraId="5C1D9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温州经济开发区天河街道岙底交通隧道集团后勤基地附属用地厂房上幢南首一年租赁权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6DC3E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约930㎡</w:t>
            </w:r>
          </w:p>
        </w:tc>
        <w:tc>
          <w:tcPr>
            <w:tcW w:w="1545" w:type="dxa"/>
            <w:tcBorders>
              <w:top w:val="single" w:color="000000" w:sz="4" w:space="0"/>
              <w:left w:val="single" w:color="000000" w:sz="4" w:space="0"/>
              <w:right w:val="single" w:color="000000" w:sz="4" w:space="0"/>
            </w:tcBorders>
            <w:noWrap w:val="0"/>
            <w:vAlign w:val="center"/>
          </w:tcPr>
          <w:p w14:paraId="1C9584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290160元</w:t>
            </w:r>
          </w:p>
        </w:tc>
        <w:tc>
          <w:tcPr>
            <w:tcW w:w="1375" w:type="dxa"/>
            <w:tcBorders>
              <w:top w:val="single" w:color="000000" w:sz="4" w:space="0"/>
              <w:left w:val="nil"/>
              <w:right w:val="single" w:color="auto" w:sz="4" w:space="0"/>
            </w:tcBorders>
            <w:noWrap w:val="0"/>
            <w:vAlign w:val="center"/>
          </w:tcPr>
          <w:p w14:paraId="63692BB7">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8万元   </w:t>
            </w:r>
          </w:p>
        </w:tc>
      </w:tr>
      <w:tr w14:paraId="18416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61137DD6">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300" w:type="dxa"/>
            <w:tcBorders>
              <w:top w:val="single" w:color="000000" w:sz="4" w:space="0"/>
              <w:left w:val="single" w:color="000000" w:sz="4" w:space="0"/>
              <w:right w:val="single" w:color="000000" w:sz="4" w:space="0"/>
            </w:tcBorders>
            <w:noWrap w:val="0"/>
            <w:vAlign w:val="center"/>
          </w:tcPr>
          <w:p w14:paraId="3428BC92">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温州经济开发区天河街道岙底交通隧道集团后勤基地附属用地厂房上幢北首一年租赁权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011183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约600㎡</w:t>
            </w:r>
          </w:p>
        </w:tc>
        <w:tc>
          <w:tcPr>
            <w:tcW w:w="1545" w:type="dxa"/>
            <w:tcBorders>
              <w:top w:val="single" w:color="000000" w:sz="4" w:space="0"/>
              <w:left w:val="single" w:color="000000" w:sz="4" w:space="0"/>
              <w:right w:val="single" w:color="000000" w:sz="4" w:space="0"/>
            </w:tcBorders>
            <w:noWrap w:val="0"/>
            <w:vAlign w:val="center"/>
          </w:tcPr>
          <w:p w14:paraId="197DF536">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187200元</w:t>
            </w:r>
          </w:p>
        </w:tc>
        <w:tc>
          <w:tcPr>
            <w:tcW w:w="1375" w:type="dxa"/>
            <w:tcBorders>
              <w:top w:val="single" w:color="000000" w:sz="4" w:space="0"/>
              <w:left w:val="nil"/>
              <w:right w:val="single" w:color="auto" w:sz="4" w:space="0"/>
            </w:tcBorders>
            <w:noWrap w:val="0"/>
            <w:vAlign w:val="center"/>
          </w:tcPr>
          <w:p w14:paraId="24361459">
            <w:pPr>
              <w:keepNext w:val="0"/>
              <w:keepLines w:val="0"/>
              <w:suppressLineNumbers w:val="0"/>
              <w:spacing w:before="0" w:beforeAutospacing="0" w:after="0" w:afterAutospacing="0" w:line="300" w:lineRule="exact"/>
              <w:ind w:left="0" w:right="0"/>
              <w:jc w:val="center"/>
              <w:rPr>
                <w:rFonts w:hint="eastAsia" w:ascii="宋体" w:hAnsi="宋体" w:cs="宋体"/>
                <w:b w:val="0"/>
                <w:bCs w:val="0"/>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2A26F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0FDD0FD7">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4300" w:type="dxa"/>
            <w:tcBorders>
              <w:top w:val="single" w:color="000000" w:sz="4" w:space="0"/>
              <w:left w:val="single" w:color="000000" w:sz="4" w:space="0"/>
              <w:right w:val="single" w:color="000000" w:sz="4" w:space="0"/>
            </w:tcBorders>
            <w:noWrap w:val="0"/>
            <w:vAlign w:val="center"/>
          </w:tcPr>
          <w:p w14:paraId="540D5F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温州经济开发区天河街道岙底交通隧道集团后勤基地附属用地厂房中幢北首一年租赁权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623C2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约965.8㎡</w:t>
            </w:r>
          </w:p>
        </w:tc>
        <w:tc>
          <w:tcPr>
            <w:tcW w:w="1545" w:type="dxa"/>
            <w:tcBorders>
              <w:top w:val="single" w:color="000000" w:sz="4" w:space="0"/>
              <w:left w:val="single" w:color="000000" w:sz="4" w:space="0"/>
              <w:right w:val="single" w:color="000000" w:sz="4" w:space="0"/>
            </w:tcBorders>
            <w:noWrap w:val="0"/>
            <w:vAlign w:val="center"/>
          </w:tcPr>
          <w:p w14:paraId="290C30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301330元</w:t>
            </w:r>
          </w:p>
        </w:tc>
        <w:tc>
          <w:tcPr>
            <w:tcW w:w="1375" w:type="dxa"/>
            <w:tcBorders>
              <w:top w:val="single" w:color="000000" w:sz="4" w:space="0"/>
              <w:left w:val="nil"/>
              <w:right w:val="single" w:color="auto" w:sz="4" w:space="0"/>
            </w:tcBorders>
            <w:noWrap w:val="0"/>
            <w:vAlign w:val="center"/>
          </w:tcPr>
          <w:p w14:paraId="5A0B99E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9万元</w:t>
            </w:r>
          </w:p>
        </w:tc>
      </w:tr>
      <w:tr w14:paraId="54DCC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1444B7FD">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4</w:t>
            </w:r>
          </w:p>
        </w:tc>
        <w:tc>
          <w:tcPr>
            <w:tcW w:w="4300" w:type="dxa"/>
            <w:tcBorders>
              <w:top w:val="single" w:color="000000" w:sz="4" w:space="0"/>
              <w:left w:val="single" w:color="000000" w:sz="4" w:space="0"/>
              <w:right w:val="single" w:color="000000" w:sz="4" w:space="0"/>
            </w:tcBorders>
            <w:noWrap w:val="0"/>
            <w:vAlign w:val="center"/>
          </w:tcPr>
          <w:p w14:paraId="2D5E12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温州经济开发区天河街道岙底交通隧道集团后勤基地附属用地厂房中幢南首一年租赁权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4A335F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约564.2㎡</w:t>
            </w:r>
          </w:p>
        </w:tc>
        <w:tc>
          <w:tcPr>
            <w:tcW w:w="1545" w:type="dxa"/>
            <w:tcBorders>
              <w:top w:val="single" w:color="000000" w:sz="4" w:space="0"/>
              <w:left w:val="single" w:color="000000" w:sz="4" w:space="0"/>
              <w:right w:val="single" w:color="000000" w:sz="4" w:space="0"/>
            </w:tcBorders>
            <w:noWrap w:val="0"/>
            <w:vAlign w:val="center"/>
          </w:tcPr>
          <w:p w14:paraId="14B496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176030元</w:t>
            </w:r>
          </w:p>
        </w:tc>
        <w:tc>
          <w:tcPr>
            <w:tcW w:w="1375" w:type="dxa"/>
            <w:tcBorders>
              <w:top w:val="single" w:color="000000" w:sz="4" w:space="0"/>
              <w:left w:val="nil"/>
              <w:right w:val="single" w:color="auto" w:sz="4" w:space="0"/>
            </w:tcBorders>
            <w:noWrap w:val="0"/>
            <w:vAlign w:val="center"/>
          </w:tcPr>
          <w:p w14:paraId="5799EC0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6E48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15289239">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5</w:t>
            </w:r>
          </w:p>
        </w:tc>
        <w:tc>
          <w:tcPr>
            <w:tcW w:w="4300" w:type="dxa"/>
            <w:tcBorders>
              <w:top w:val="single" w:color="000000" w:sz="4" w:space="0"/>
              <w:left w:val="single" w:color="000000" w:sz="4" w:space="0"/>
              <w:right w:val="single" w:color="000000" w:sz="4" w:space="0"/>
            </w:tcBorders>
            <w:noWrap w:val="0"/>
            <w:vAlign w:val="center"/>
          </w:tcPr>
          <w:p w14:paraId="76451D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温州经济开发区天河街道岙底交通隧道集团后勤基地附属用地厂房下幢西首一年租赁权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11FA6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约765㎡</w:t>
            </w:r>
          </w:p>
        </w:tc>
        <w:tc>
          <w:tcPr>
            <w:tcW w:w="1545" w:type="dxa"/>
            <w:tcBorders>
              <w:top w:val="single" w:color="000000" w:sz="4" w:space="0"/>
              <w:left w:val="single" w:color="000000" w:sz="4" w:space="0"/>
              <w:right w:val="single" w:color="000000" w:sz="4" w:space="0"/>
            </w:tcBorders>
            <w:noWrap w:val="0"/>
            <w:vAlign w:val="center"/>
          </w:tcPr>
          <w:p w14:paraId="4AAB7E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238680元</w:t>
            </w:r>
          </w:p>
        </w:tc>
        <w:tc>
          <w:tcPr>
            <w:tcW w:w="1375" w:type="dxa"/>
            <w:tcBorders>
              <w:top w:val="single" w:color="000000" w:sz="4" w:space="0"/>
              <w:left w:val="nil"/>
              <w:right w:val="single" w:color="auto" w:sz="4" w:space="0"/>
            </w:tcBorders>
            <w:noWrap w:val="0"/>
            <w:vAlign w:val="center"/>
          </w:tcPr>
          <w:p w14:paraId="035490A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r>
      <w:tr w14:paraId="24334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4FE20CE2">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6</w:t>
            </w:r>
          </w:p>
        </w:tc>
        <w:tc>
          <w:tcPr>
            <w:tcW w:w="4300" w:type="dxa"/>
            <w:tcBorders>
              <w:top w:val="single" w:color="000000" w:sz="4" w:space="0"/>
              <w:left w:val="single" w:color="000000" w:sz="4" w:space="0"/>
              <w:right w:val="single" w:color="000000" w:sz="4" w:space="0"/>
            </w:tcBorders>
            <w:noWrap w:val="0"/>
            <w:vAlign w:val="center"/>
          </w:tcPr>
          <w:p w14:paraId="55DD22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温州经济开发区天河街道岙底交通隧道集团后勤基地附属用地厂房下幢东首一年租赁权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7CBEAD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约765㎡</w:t>
            </w:r>
          </w:p>
        </w:tc>
        <w:tc>
          <w:tcPr>
            <w:tcW w:w="1545" w:type="dxa"/>
            <w:tcBorders>
              <w:top w:val="single" w:color="000000" w:sz="4" w:space="0"/>
              <w:left w:val="single" w:color="000000" w:sz="4" w:space="0"/>
              <w:right w:val="single" w:color="000000" w:sz="4" w:space="0"/>
            </w:tcBorders>
            <w:noWrap w:val="0"/>
            <w:vAlign w:val="center"/>
          </w:tcPr>
          <w:p w14:paraId="3DFAFB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238680元</w:t>
            </w:r>
          </w:p>
        </w:tc>
        <w:tc>
          <w:tcPr>
            <w:tcW w:w="1375" w:type="dxa"/>
            <w:tcBorders>
              <w:top w:val="single" w:color="000000" w:sz="4" w:space="0"/>
              <w:left w:val="nil"/>
              <w:right w:val="single" w:color="auto" w:sz="4" w:space="0"/>
            </w:tcBorders>
            <w:noWrap w:val="0"/>
            <w:vAlign w:val="center"/>
          </w:tcPr>
          <w:p w14:paraId="6AEAB07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5" w:hRule="atLeast"/>
          <w:jc w:val="center"/>
        </w:trPr>
        <w:tc>
          <w:tcPr>
            <w:tcW w:w="9764" w:type="dxa"/>
            <w:gridSpan w:val="5"/>
            <w:tcBorders>
              <w:top w:val="single" w:color="000000" w:sz="4" w:space="0"/>
              <w:left w:val="single" w:color="auto" w:sz="4" w:space="0"/>
              <w:bottom w:val="single" w:color="000000" w:sz="4" w:space="0"/>
              <w:right w:val="single" w:color="auto" w:sz="4" w:space="0"/>
            </w:tcBorders>
            <w:noWrap w:val="0"/>
            <w:vAlign w:val="center"/>
          </w:tcPr>
          <w:p w14:paraId="27660BA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注：1.租期1年，租金（不含税）一次性支付，租赁期内租金不递增。</w:t>
            </w:r>
          </w:p>
          <w:p w14:paraId="3F15BCA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bCs/>
                <w:kern w:val="2"/>
                <w:sz w:val="24"/>
                <w:szCs w:val="24"/>
                <w:highlight w:val="none"/>
                <w:lang w:val="en-US" w:eastAsia="zh-CN" w:bidi="ar"/>
              </w:rPr>
              <w:t>经营业态：政府允许的行业，禁止环境污染工业入驻。</w:t>
            </w:r>
          </w:p>
          <w:p w14:paraId="6804528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highlight w:val="none"/>
                <w:lang w:val="en-US" w:eastAsia="zh-CN" w:bidi="ar"/>
              </w:rPr>
            </w:pPr>
            <w:r>
              <w:rPr>
                <w:rFonts w:hint="default" w:ascii="宋体" w:hAnsi="宋体" w:eastAsia="宋体" w:cs="宋体"/>
                <w:bCs/>
                <w:kern w:val="2"/>
                <w:sz w:val="24"/>
                <w:szCs w:val="24"/>
                <w:lang w:val="en-US" w:eastAsia="zh-CN" w:bidi="ar"/>
              </w:rPr>
              <w:t>3.</w:t>
            </w:r>
            <w:r>
              <w:rPr>
                <w:rFonts w:hint="default" w:ascii="宋体" w:hAnsi="宋体" w:eastAsia="宋体" w:cs="宋体"/>
                <w:kern w:val="0"/>
                <w:sz w:val="24"/>
                <w:szCs w:val="24"/>
                <w:lang w:val="en-US" w:eastAsia="zh-CN" w:bidi="ar"/>
              </w:rPr>
              <w:t>原承租人在同等条件下享有优先权，若原承租人未成功竞得，则给予腾空期2个月，不计租金及租期</w:t>
            </w:r>
            <w:r>
              <w:rPr>
                <w:rFonts w:hint="eastAsia" w:ascii="宋体" w:hAnsi="宋体" w:eastAsia="宋体" w:cs="宋体"/>
                <w:kern w:val="0"/>
                <w:sz w:val="24"/>
                <w:szCs w:val="24"/>
                <w:lang w:val="en-US" w:eastAsia="zh-CN" w:bidi="ar"/>
              </w:rPr>
              <w:t>。</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天凤村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：年租金成交价/标的</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24</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236855</wp:posOffset>
            </wp:positionH>
            <wp:positionV relativeFrom="paragraph">
              <wp:posOffset>-2699385</wp:posOffset>
            </wp:positionV>
            <wp:extent cx="5271770" cy="5833110"/>
            <wp:effectExtent l="0" t="0" r="5080" b="15240"/>
            <wp:wrapNone/>
            <wp:docPr id="12"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kern w:val="0"/>
          <w:sz w:val="24"/>
          <w:szCs w:val="24"/>
          <w:highlight w:val="none"/>
          <w:u w:val="none"/>
          <w:lang w:val="en-US" w:eastAsia="zh-CN" w:bidi="ar-SA"/>
        </w:rPr>
        <w:t>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温州市龙湾区天河街道天凤村集体经济组织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2026年7月17日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03536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原承租人在同等条件下享有优先权，行权方式为过程行权。</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2026年7月17日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2026年7月27日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温州市龙湾区天河街道天凤村集体经济组织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0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300"/>
        <w:gridCol w:w="1785"/>
        <w:gridCol w:w="1545"/>
        <w:gridCol w:w="1375"/>
      </w:tblGrid>
      <w:tr w14:paraId="0738C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56E16E44">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300" w:type="dxa"/>
            <w:tcBorders>
              <w:top w:val="single" w:color="000000" w:sz="4" w:space="0"/>
              <w:left w:val="single" w:color="000000" w:sz="4" w:space="0"/>
              <w:bottom w:val="single" w:color="000000" w:sz="4" w:space="0"/>
              <w:right w:val="single" w:color="000000" w:sz="4" w:space="0"/>
            </w:tcBorders>
            <w:noWrap w:val="0"/>
            <w:vAlign w:val="center"/>
          </w:tcPr>
          <w:p w14:paraId="64DCE856">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6161BAEE">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43ECEE58">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3D906273">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375" w:type="dxa"/>
            <w:tcBorders>
              <w:top w:val="single" w:color="000000" w:sz="4" w:space="0"/>
              <w:left w:val="nil"/>
              <w:bottom w:val="single" w:color="000000" w:sz="4" w:space="0"/>
              <w:right w:val="single" w:color="auto" w:sz="4" w:space="0"/>
            </w:tcBorders>
            <w:noWrap w:val="0"/>
            <w:vAlign w:val="center"/>
          </w:tcPr>
          <w:p w14:paraId="4041CDE3">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FDF5B64">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34974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59" w:type="dxa"/>
            <w:tcBorders>
              <w:top w:val="single" w:color="000000" w:sz="4" w:space="0"/>
              <w:left w:val="single" w:color="auto" w:sz="4" w:space="0"/>
              <w:right w:val="single" w:color="000000" w:sz="4" w:space="0"/>
            </w:tcBorders>
            <w:noWrap w:val="0"/>
            <w:vAlign w:val="center"/>
          </w:tcPr>
          <w:p w14:paraId="58F8D8CD">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300" w:type="dxa"/>
            <w:tcBorders>
              <w:top w:val="single" w:color="000000" w:sz="4" w:space="0"/>
              <w:left w:val="single" w:color="000000" w:sz="4" w:space="0"/>
              <w:right w:val="single" w:color="000000" w:sz="4" w:space="0"/>
            </w:tcBorders>
            <w:noWrap w:val="0"/>
            <w:vAlign w:val="center"/>
          </w:tcPr>
          <w:p w14:paraId="1EF1B6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温州经济开发区天河街道岙底交通隧道集团后勤基地附属用地厂房上幢南首一年租赁权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1E0D2E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约930㎡</w:t>
            </w:r>
          </w:p>
        </w:tc>
        <w:tc>
          <w:tcPr>
            <w:tcW w:w="1545" w:type="dxa"/>
            <w:tcBorders>
              <w:top w:val="single" w:color="000000" w:sz="4" w:space="0"/>
              <w:left w:val="single" w:color="000000" w:sz="4" w:space="0"/>
              <w:right w:val="single" w:color="000000" w:sz="4" w:space="0"/>
            </w:tcBorders>
            <w:noWrap w:val="0"/>
            <w:vAlign w:val="center"/>
          </w:tcPr>
          <w:p w14:paraId="084FF0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290160元</w:t>
            </w:r>
          </w:p>
        </w:tc>
        <w:tc>
          <w:tcPr>
            <w:tcW w:w="1375" w:type="dxa"/>
            <w:tcBorders>
              <w:top w:val="single" w:color="000000" w:sz="4" w:space="0"/>
              <w:left w:val="nil"/>
              <w:right w:val="single" w:color="auto" w:sz="4" w:space="0"/>
            </w:tcBorders>
            <w:noWrap w:val="0"/>
            <w:vAlign w:val="center"/>
          </w:tcPr>
          <w:p w14:paraId="5DECBF0A">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8万元   </w:t>
            </w:r>
          </w:p>
        </w:tc>
      </w:tr>
      <w:tr w14:paraId="79A36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3342CF89">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300" w:type="dxa"/>
            <w:tcBorders>
              <w:top w:val="single" w:color="000000" w:sz="4" w:space="0"/>
              <w:left w:val="single" w:color="000000" w:sz="4" w:space="0"/>
              <w:right w:val="single" w:color="000000" w:sz="4" w:space="0"/>
            </w:tcBorders>
            <w:noWrap w:val="0"/>
            <w:vAlign w:val="center"/>
          </w:tcPr>
          <w:p w14:paraId="4AD0A351">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温州经济开发区天河街道岙底交通隧道集团后勤基地附属用地厂房上幢北首一年租赁权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6B2A93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约600㎡</w:t>
            </w:r>
          </w:p>
        </w:tc>
        <w:tc>
          <w:tcPr>
            <w:tcW w:w="1545" w:type="dxa"/>
            <w:tcBorders>
              <w:top w:val="single" w:color="000000" w:sz="4" w:space="0"/>
              <w:left w:val="single" w:color="000000" w:sz="4" w:space="0"/>
              <w:right w:val="single" w:color="000000" w:sz="4" w:space="0"/>
            </w:tcBorders>
            <w:noWrap w:val="0"/>
            <w:vAlign w:val="center"/>
          </w:tcPr>
          <w:p w14:paraId="6F5BB5FD">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187200元</w:t>
            </w:r>
          </w:p>
        </w:tc>
        <w:tc>
          <w:tcPr>
            <w:tcW w:w="1375" w:type="dxa"/>
            <w:tcBorders>
              <w:top w:val="single" w:color="000000" w:sz="4" w:space="0"/>
              <w:left w:val="nil"/>
              <w:right w:val="single" w:color="auto" w:sz="4" w:space="0"/>
            </w:tcBorders>
            <w:noWrap w:val="0"/>
            <w:vAlign w:val="center"/>
          </w:tcPr>
          <w:p w14:paraId="0AF917BF">
            <w:pPr>
              <w:keepNext w:val="0"/>
              <w:keepLines w:val="0"/>
              <w:suppressLineNumbers w:val="0"/>
              <w:spacing w:before="0" w:beforeAutospacing="0" w:after="0" w:afterAutospacing="0" w:line="300" w:lineRule="exact"/>
              <w:ind w:left="0" w:right="0"/>
              <w:jc w:val="center"/>
              <w:rPr>
                <w:rFonts w:hint="eastAsia" w:ascii="宋体" w:hAnsi="宋体" w:cs="宋体"/>
                <w:b w:val="0"/>
                <w:bCs w:val="0"/>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4FE05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35147DAB">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4300" w:type="dxa"/>
            <w:tcBorders>
              <w:top w:val="single" w:color="000000" w:sz="4" w:space="0"/>
              <w:left w:val="single" w:color="000000" w:sz="4" w:space="0"/>
              <w:right w:val="single" w:color="000000" w:sz="4" w:space="0"/>
            </w:tcBorders>
            <w:noWrap w:val="0"/>
            <w:vAlign w:val="center"/>
          </w:tcPr>
          <w:p w14:paraId="1C7A0B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温州经济开发区天河街道岙底交通隧道集团后勤基地附属用地厂房中幢北首一年租赁权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2A37F1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约965.8㎡</w:t>
            </w:r>
          </w:p>
        </w:tc>
        <w:tc>
          <w:tcPr>
            <w:tcW w:w="1545" w:type="dxa"/>
            <w:tcBorders>
              <w:top w:val="single" w:color="000000" w:sz="4" w:space="0"/>
              <w:left w:val="single" w:color="000000" w:sz="4" w:space="0"/>
              <w:right w:val="single" w:color="000000" w:sz="4" w:space="0"/>
            </w:tcBorders>
            <w:noWrap w:val="0"/>
            <w:vAlign w:val="center"/>
          </w:tcPr>
          <w:p w14:paraId="1CA5C5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301330元</w:t>
            </w:r>
          </w:p>
        </w:tc>
        <w:tc>
          <w:tcPr>
            <w:tcW w:w="1375" w:type="dxa"/>
            <w:tcBorders>
              <w:top w:val="single" w:color="000000" w:sz="4" w:space="0"/>
              <w:left w:val="nil"/>
              <w:right w:val="single" w:color="auto" w:sz="4" w:space="0"/>
            </w:tcBorders>
            <w:noWrap w:val="0"/>
            <w:vAlign w:val="center"/>
          </w:tcPr>
          <w:p w14:paraId="172B0024">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9万元</w:t>
            </w:r>
          </w:p>
        </w:tc>
      </w:tr>
      <w:tr w14:paraId="0232D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5A1249B6">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4</w:t>
            </w:r>
          </w:p>
        </w:tc>
        <w:tc>
          <w:tcPr>
            <w:tcW w:w="4300" w:type="dxa"/>
            <w:tcBorders>
              <w:top w:val="single" w:color="000000" w:sz="4" w:space="0"/>
              <w:left w:val="single" w:color="000000" w:sz="4" w:space="0"/>
              <w:right w:val="single" w:color="000000" w:sz="4" w:space="0"/>
            </w:tcBorders>
            <w:noWrap w:val="0"/>
            <w:vAlign w:val="center"/>
          </w:tcPr>
          <w:p w14:paraId="7DAA1E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温州经济开发区天河街道岙底交通隧道集团后勤基地附属用地厂房中幢南首一年租赁权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702CAC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约564.2㎡</w:t>
            </w:r>
          </w:p>
        </w:tc>
        <w:tc>
          <w:tcPr>
            <w:tcW w:w="1545" w:type="dxa"/>
            <w:tcBorders>
              <w:top w:val="single" w:color="000000" w:sz="4" w:space="0"/>
              <w:left w:val="single" w:color="000000" w:sz="4" w:space="0"/>
              <w:right w:val="single" w:color="000000" w:sz="4" w:space="0"/>
            </w:tcBorders>
            <w:noWrap w:val="0"/>
            <w:vAlign w:val="center"/>
          </w:tcPr>
          <w:p w14:paraId="008C57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176030元</w:t>
            </w:r>
          </w:p>
        </w:tc>
        <w:tc>
          <w:tcPr>
            <w:tcW w:w="1375" w:type="dxa"/>
            <w:tcBorders>
              <w:top w:val="single" w:color="000000" w:sz="4" w:space="0"/>
              <w:left w:val="nil"/>
              <w:right w:val="single" w:color="auto" w:sz="4" w:space="0"/>
            </w:tcBorders>
            <w:noWrap w:val="0"/>
            <w:vAlign w:val="center"/>
          </w:tcPr>
          <w:p w14:paraId="416E69A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r>
      <w:tr w14:paraId="4E82A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03C2D4E5">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5</w:t>
            </w:r>
          </w:p>
        </w:tc>
        <w:tc>
          <w:tcPr>
            <w:tcW w:w="4300" w:type="dxa"/>
            <w:tcBorders>
              <w:top w:val="single" w:color="000000" w:sz="4" w:space="0"/>
              <w:left w:val="single" w:color="000000" w:sz="4" w:space="0"/>
              <w:right w:val="single" w:color="000000" w:sz="4" w:space="0"/>
            </w:tcBorders>
            <w:noWrap w:val="0"/>
            <w:vAlign w:val="center"/>
          </w:tcPr>
          <w:p w14:paraId="300DF1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温州经济开发区天河街道岙底交通隧道集团后勤基地附属用地厂房下幢西首一年租赁权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1D66EA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约765㎡</w:t>
            </w:r>
          </w:p>
        </w:tc>
        <w:tc>
          <w:tcPr>
            <w:tcW w:w="1545" w:type="dxa"/>
            <w:tcBorders>
              <w:top w:val="single" w:color="000000" w:sz="4" w:space="0"/>
              <w:left w:val="single" w:color="000000" w:sz="4" w:space="0"/>
              <w:right w:val="single" w:color="000000" w:sz="4" w:space="0"/>
            </w:tcBorders>
            <w:noWrap w:val="0"/>
            <w:vAlign w:val="center"/>
          </w:tcPr>
          <w:p w14:paraId="169034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238680元</w:t>
            </w:r>
          </w:p>
        </w:tc>
        <w:tc>
          <w:tcPr>
            <w:tcW w:w="1375" w:type="dxa"/>
            <w:tcBorders>
              <w:top w:val="single" w:color="000000" w:sz="4" w:space="0"/>
              <w:left w:val="nil"/>
              <w:right w:val="single" w:color="auto" w:sz="4" w:space="0"/>
            </w:tcBorders>
            <w:noWrap w:val="0"/>
            <w:vAlign w:val="center"/>
          </w:tcPr>
          <w:p w14:paraId="51A54BC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r>
      <w:tr w14:paraId="55E0B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28CE9409">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6</w:t>
            </w:r>
          </w:p>
        </w:tc>
        <w:tc>
          <w:tcPr>
            <w:tcW w:w="4300" w:type="dxa"/>
            <w:tcBorders>
              <w:top w:val="single" w:color="000000" w:sz="4" w:space="0"/>
              <w:left w:val="single" w:color="000000" w:sz="4" w:space="0"/>
              <w:right w:val="single" w:color="000000" w:sz="4" w:space="0"/>
            </w:tcBorders>
            <w:noWrap w:val="0"/>
            <w:vAlign w:val="center"/>
          </w:tcPr>
          <w:p w14:paraId="6F291D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温州经济开发区天河街道岙底交通隧道集团后勤基地附属用地厂房下幢东首一年租赁权</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1AA153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约765㎡</w:t>
            </w:r>
          </w:p>
        </w:tc>
        <w:tc>
          <w:tcPr>
            <w:tcW w:w="1545" w:type="dxa"/>
            <w:tcBorders>
              <w:top w:val="single" w:color="000000" w:sz="4" w:space="0"/>
              <w:left w:val="single" w:color="000000" w:sz="4" w:space="0"/>
              <w:right w:val="single" w:color="000000" w:sz="4" w:space="0"/>
            </w:tcBorders>
            <w:noWrap w:val="0"/>
            <w:vAlign w:val="center"/>
          </w:tcPr>
          <w:p w14:paraId="7A79B0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238680元</w:t>
            </w:r>
          </w:p>
        </w:tc>
        <w:tc>
          <w:tcPr>
            <w:tcW w:w="1375" w:type="dxa"/>
            <w:tcBorders>
              <w:top w:val="single" w:color="000000" w:sz="4" w:space="0"/>
              <w:left w:val="nil"/>
              <w:right w:val="single" w:color="auto" w:sz="4" w:space="0"/>
            </w:tcBorders>
            <w:noWrap w:val="0"/>
            <w:vAlign w:val="center"/>
          </w:tcPr>
          <w:p w14:paraId="5E85628F">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r>
      <w:tr w14:paraId="54155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5" w:hRule="atLeast"/>
          <w:jc w:val="center"/>
        </w:trPr>
        <w:tc>
          <w:tcPr>
            <w:tcW w:w="9764" w:type="dxa"/>
            <w:gridSpan w:val="5"/>
            <w:tcBorders>
              <w:top w:val="single" w:color="000000" w:sz="4" w:space="0"/>
              <w:left w:val="single" w:color="auto" w:sz="4" w:space="0"/>
              <w:bottom w:val="single" w:color="000000" w:sz="4" w:space="0"/>
              <w:right w:val="single" w:color="auto" w:sz="4" w:space="0"/>
            </w:tcBorders>
            <w:noWrap w:val="0"/>
            <w:vAlign w:val="center"/>
          </w:tcPr>
          <w:p w14:paraId="758609C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注：1.租期1年，租金（不含税）一次性支付，租赁期内租金不递增。</w:t>
            </w:r>
          </w:p>
          <w:p w14:paraId="682984B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bCs/>
                <w:kern w:val="2"/>
                <w:sz w:val="24"/>
                <w:szCs w:val="24"/>
                <w:highlight w:val="none"/>
                <w:lang w:val="en-US" w:eastAsia="zh-CN" w:bidi="ar"/>
              </w:rPr>
              <w:t>经营业态：政府允许的行业，禁止环境污染工业入驻。</w:t>
            </w:r>
          </w:p>
          <w:p w14:paraId="2F718C8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highlight w:val="none"/>
                <w:lang w:val="en-US" w:eastAsia="zh-CN" w:bidi="ar"/>
              </w:rPr>
            </w:pPr>
            <w:r>
              <w:rPr>
                <w:rFonts w:hint="default" w:ascii="宋体" w:hAnsi="宋体" w:eastAsia="宋体" w:cs="宋体"/>
                <w:bCs/>
                <w:kern w:val="2"/>
                <w:sz w:val="24"/>
                <w:szCs w:val="24"/>
                <w:lang w:val="en-US" w:eastAsia="zh-CN" w:bidi="ar"/>
              </w:rPr>
              <w:t>3.</w:t>
            </w:r>
            <w:r>
              <w:rPr>
                <w:rFonts w:hint="default" w:ascii="宋体" w:hAnsi="宋体" w:eastAsia="宋体" w:cs="宋体"/>
                <w:kern w:val="0"/>
                <w:sz w:val="24"/>
                <w:szCs w:val="24"/>
                <w:lang w:val="en-US" w:eastAsia="zh-CN" w:bidi="ar"/>
              </w:rPr>
              <w:t>原承租人在同等条件下享有优先权，若原承租人未成功竞得，则给予腾空期2个月，不计租金及租期</w:t>
            </w:r>
            <w:r>
              <w:rPr>
                <w:rFonts w:hint="eastAsia" w:ascii="宋体" w:hAnsi="宋体" w:eastAsia="宋体" w:cs="宋体"/>
                <w:kern w:val="0"/>
                <w:sz w:val="24"/>
                <w:szCs w:val="24"/>
                <w:lang w:val="en-US" w:eastAsia="zh-CN" w:bidi="ar"/>
              </w:rPr>
              <w:t>。</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w:t>
      </w: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-4902200</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1年租金总额，采用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-5476240</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-3865245</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5D3BC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174629B">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2026年7月17日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115570</wp:posOffset>
                </wp:positionH>
                <wp:positionV relativeFrom="paragraph">
                  <wp:posOffset>86360</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9.1pt;margin-top:6.8pt;height:78.3pt;width:461.4pt;z-index:251669504;mso-width-relative:page;mso-height-relative:page;" fillcolor="#FFFFFF" filled="t" stroked="t" coordsize="21600,21600" o:gfxdata="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dfBzWAAAACQEAAA8AAAAAAAAAAQAgAAAAIgAAAGRycy9kb3ducmV2LnhtbFBL&#10;AQIUABQAAAAIAIdO4kD6K43IMQIAAHgEAAAOAAAAAAAAAAEAIAAAACUBAABkcnMvZTJvRG9jLnht&#10;bFBLBQYAAAAABgAGAFkBAADIBQ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2026年7月27日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租期1年，租金（不含税）一次性支付，租赁期内租金不递增</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3</w:t>
      </w:r>
      <w:bookmarkStart w:id="0" w:name="_GoBack"/>
      <w:bookmarkEnd w:id="0"/>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具体租赁事项以竞得人与温州市龙湾区天河街道天凤村集体经济组织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782C8574">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28344F60">
      <w:pPr>
        <w:rPr>
          <w:rFonts w:hint="eastAsia" w:ascii="黑体" w:hAnsi="宋体" w:eastAsia="黑体"/>
          <w:b/>
          <w:sz w:val="48"/>
          <w:szCs w:val="48"/>
        </w:rPr>
      </w:pPr>
      <w:r>
        <w:rPr>
          <w:rFonts w:hint="eastAsia" w:ascii="黑体" w:hAnsi="宋体" w:eastAsia="黑体"/>
          <w:b/>
          <w:sz w:val="48"/>
          <w:szCs w:val="48"/>
        </w:rPr>
        <w:br w:type="page"/>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温州市龙湾区天河街道天凤村集体经济组织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（一）租赁期限为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二</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2.</w:t>
      </w:r>
      <w:r>
        <w:rPr>
          <w:rFonts w:hint="eastAsia" w:ascii="宋体" w:hAnsi="宋体" w:eastAsia="宋体" w:cs="宋体"/>
          <w:color w:val="auto"/>
          <w:szCs w:val="24"/>
          <w:highlight w:val="none"/>
          <w:u w:val="single"/>
          <w:lang w:val="en-US" w:eastAsia="zh-CN"/>
        </w:rPr>
        <w:t>租期1年，租金（不含税）一次性支付，租赁期内租金不递增</w:t>
      </w:r>
      <w:r>
        <w:rPr>
          <w:rFonts w:hint="eastAsia" w:ascii="宋体" w:hAnsi="宋体" w:cs="宋体"/>
          <w:color w:val="auto"/>
          <w:szCs w:val="24"/>
          <w:highlight w:val="none"/>
          <w:u w:val="single"/>
          <w:lang w:val="en-US" w:eastAsia="zh-CN"/>
        </w:rPr>
        <w:t>，下期租金应在上期租赁期限届满前1个月付清。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10188"/>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8C6347"/>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45416"/>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11986</Words>
  <Characters>12298</Characters>
  <Lines>74</Lines>
  <Paragraphs>20</Paragraphs>
  <TotalTime>1</TotalTime>
  <ScaleCrop>false</ScaleCrop>
  <LinksUpToDate>false</LinksUpToDate>
  <CharactersWithSpaces>13679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2026-07-15T06:34:26Z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