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温州市龙湾区沙城街道原龙湾区沙城第一小学朝霞校区（中宁街2号后面）五年租赁权竞价文件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17D8B276">
      <w:pPr>
        <w:jc w:val="center"/>
        <w:rPr>
          <w:rFonts w:hint="eastAsia" w:ascii="宋体" w:hAnsi="宋体"/>
          <w:b/>
          <w:bCs/>
          <w:color w:val="auto"/>
          <w:sz w:val="44"/>
          <w:szCs w:val="44"/>
          <w:lang w:val="en-US" w:eastAsia="zh-CN"/>
        </w:rPr>
      </w:pPr>
    </w:p>
    <w:p w14:paraId="48386383">
      <w:pPr>
        <w:jc w:val="center"/>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8月28日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温州市龙湾区沙城街道原龙湾区沙城第一小学朝霞校区（中宁街2号后面）五年租赁权竞价公告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2026年9月17日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2026年9月18日上午10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温州市龙湾区沙城街道原龙湾区沙城第一小学朝霞校区（中宁街2号后面）五年租赁权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3446"/>
        <w:gridCol w:w="1020"/>
        <w:gridCol w:w="1815"/>
        <w:gridCol w:w="1455"/>
        <w:gridCol w:w="115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446"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835" w:type="dxa"/>
            <w:gridSpan w:val="2"/>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55"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5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9398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restart"/>
            <w:tcBorders>
              <w:top w:val="single" w:color="000000" w:sz="4" w:space="0"/>
              <w:left w:val="single" w:color="auto" w:sz="4" w:space="0"/>
              <w:right w:val="single" w:color="000000" w:sz="4" w:space="0"/>
            </w:tcBorders>
            <w:noWrap w:val="0"/>
            <w:vAlign w:val="center"/>
          </w:tcPr>
          <w:p w14:paraId="2E2281F7">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3446" w:type="dxa"/>
            <w:vMerge w:val="restart"/>
            <w:tcBorders>
              <w:top w:val="single" w:color="000000" w:sz="4" w:space="0"/>
              <w:left w:val="single" w:color="000000" w:sz="4" w:space="0"/>
              <w:right w:val="single" w:color="000000" w:sz="4" w:space="0"/>
            </w:tcBorders>
            <w:noWrap w:val="0"/>
            <w:vAlign w:val="center"/>
          </w:tcPr>
          <w:p w14:paraId="4DBA6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bCs/>
                <w:kern w:val="2"/>
                <w:sz w:val="24"/>
                <w:szCs w:val="24"/>
                <w:highlight w:val="none"/>
                <w:u w:val="none"/>
                <w:lang w:val="en-US" w:eastAsia="zh-CN" w:bidi="ar-SA"/>
              </w:rPr>
              <w:t xml:space="preserve">温州市龙湾区沙城街道原龙湾区沙城第一小学朝霞校区（中宁街2号后面）五年租赁权 </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7C20328">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一层   </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019D3D3C">
            <w:pPr>
              <w:keepNext w:val="0"/>
              <w:keepLines w:val="0"/>
              <w:suppressLineNumbers w:val="0"/>
              <w:spacing w:before="0" w:beforeAutospacing="0" w:after="0" w:afterAutospacing="0" w:line="300" w:lineRule="exact"/>
              <w:ind w:left="0" w:right="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约1311.68</w:t>
            </w:r>
            <w:r>
              <w:rPr>
                <w:rFonts w:hint="eastAsia" w:ascii="宋体" w:hAnsi="宋体" w:eastAsia="宋体" w:cs="宋体"/>
                <w:kern w:val="0"/>
                <w:sz w:val="24"/>
                <w:szCs w:val="24"/>
                <w:lang w:val="en-US" w:eastAsia="zh-CN" w:bidi="ar"/>
              </w:rPr>
              <w:t>㎡</w:t>
            </w:r>
          </w:p>
        </w:tc>
        <w:tc>
          <w:tcPr>
            <w:tcW w:w="1455" w:type="dxa"/>
            <w:vMerge w:val="restart"/>
            <w:tcBorders>
              <w:top w:val="single" w:color="000000" w:sz="4" w:space="0"/>
              <w:left w:val="single" w:color="000000" w:sz="4" w:space="0"/>
              <w:right w:val="single" w:color="auto" w:sz="4" w:space="0"/>
            </w:tcBorders>
            <w:noWrap w:val="0"/>
            <w:vAlign w:val="center"/>
          </w:tcPr>
          <w:p w14:paraId="3A11ABDE">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kern w:val="2"/>
                <w:sz w:val="24"/>
                <w:szCs w:val="24"/>
                <w:highlight w:val="none"/>
                <w:lang w:val="en-US" w:eastAsia="zh-CN"/>
              </w:rPr>
            </w:pPr>
            <w:r>
              <w:rPr>
                <w:rFonts w:hint="eastAsia" w:ascii="宋体" w:hAnsi="宋体" w:cs="宋体"/>
                <w:bCs/>
                <w:color w:val="auto"/>
                <w:kern w:val="2"/>
                <w:sz w:val="24"/>
                <w:szCs w:val="24"/>
                <w:highlight w:val="none"/>
                <w:u w:val="none"/>
                <w:lang w:val="en-US" w:eastAsia="zh-CN" w:bidi="ar-SA"/>
              </w:rPr>
              <w:t>495914</w:t>
            </w:r>
            <w:r>
              <w:rPr>
                <w:rFonts w:hint="eastAsia" w:ascii="宋体" w:hAnsi="宋体" w:eastAsia="宋体" w:cs="宋体"/>
                <w:bCs/>
                <w:color w:val="auto"/>
                <w:kern w:val="2"/>
                <w:sz w:val="24"/>
                <w:szCs w:val="24"/>
                <w:highlight w:val="none"/>
                <w:u w:val="none"/>
                <w:lang w:val="en-US" w:eastAsia="zh-CN" w:bidi="ar-SA"/>
              </w:rPr>
              <w:t xml:space="preserve">元      </w:t>
            </w:r>
          </w:p>
        </w:tc>
        <w:tc>
          <w:tcPr>
            <w:tcW w:w="1158" w:type="dxa"/>
            <w:vMerge w:val="restart"/>
            <w:tcBorders>
              <w:top w:val="single" w:color="000000" w:sz="4" w:space="0"/>
              <w:left w:val="nil"/>
              <w:right w:val="single" w:color="auto" w:sz="4" w:space="0"/>
            </w:tcBorders>
            <w:noWrap w:val="0"/>
            <w:vAlign w:val="center"/>
          </w:tcPr>
          <w:p w14:paraId="495F6909">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cs="宋体"/>
                <w:bCs/>
                <w:kern w:val="2"/>
                <w:sz w:val="24"/>
                <w:szCs w:val="24"/>
                <w:highlight w:val="none"/>
                <w:u w:val="none"/>
                <w:lang w:val="en-US" w:eastAsia="zh-CN" w:bidi="ar-SA"/>
              </w:rPr>
              <w:t>49</w:t>
            </w:r>
            <w:r>
              <w:rPr>
                <w:rFonts w:hint="eastAsia" w:ascii="宋体" w:hAnsi="宋体" w:eastAsia="宋体" w:cs="宋体"/>
                <w:bCs/>
                <w:kern w:val="2"/>
                <w:sz w:val="24"/>
                <w:szCs w:val="24"/>
                <w:highlight w:val="none"/>
                <w:u w:val="none"/>
                <w:lang w:val="en-US" w:eastAsia="zh-CN" w:bidi="ar-SA"/>
              </w:rPr>
              <w:t xml:space="preserve">万元    </w:t>
            </w:r>
          </w:p>
        </w:tc>
      </w:tr>
      <w:tr w14:paraId="1C910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61172F53">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446" w:type="dxa"/>
            <w:vMerge w:val="continue"/>
            <w:tcBorders>
              <w:left w:val="single" w:color="000000" w:sz="4" w:space="0"/>
              <w:right w:val="single" w:color="000000" w:sz="4" w:space="0"/>
            </w:tcBorders>
            <w:noWrap w:val="0"/>
            <w:vAlign w:val="center"/>
          </w:tcPr>
          <w:p w14:paraId="36A0BBD9">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8DC4957">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二层</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31F02211">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约1333.7</w:t>
            </w:r>
            <w:r>
              <w:rPr>
                <w:rFonts w:hint="eastAsia" w:ascii="宋体" w:hAnsi="宋体" w:eastAsia="宋体" w:cs="宋体"/>
                <w:kern w:val="0"/>
                <w:sz w:val="24"/>
                <w:szCs w:val="24"/>
                <w:lang w:val="en-US" w:eastAsia="zh-CN" w:bidi="ar"/>
              </w:rPr>
              <w:t>㎡</w:t>
            </w:r>
          </w:p>
        </w:tc>
        <w:tc>
          <w:tcPr>
            <w:tcW w:w="1455" w:type="dxa"/>
            <w:vMerge w:val="continue"/>
            <w:tcBorders>
              <w:left w:val="single" w:color="000000" w:sz="4" w:space="0"/>
              <w:right w:val="single" w:color="auto" w:sz="4" w:space="0"/>
            </w:tcBorders>
            <w:noWrap w:val="0"/>
            <w:vAlign w:val="center"/>
          </w:tcPr>
          <w:p w14:paraId="679969D3">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58" w:type="dxa"/>
            <w:vMerge w:val="continue"/>
            <w:tcBorders>
              <w:left w:val="nil"/>
              <w:right w:val="single" w:color="auto" w:sz="4" w:space="0"/>
            </w:tcBorders>
            <w:noWrap w:val="0"/>
            <w:vAlign w:val="center"/>
          </w:tcPr>
          <w:p w14:paraId="5EC59548">
            <w:pPr>
              <w:keepNext w:val="0"/>
              <w:keepLines w:val="0"/>
              <w:widowControl/>
              <w:suppressLineNumbers w:val="0"/>
              <w:spacing w:before="0" w:beforeAutospacing="0" w:after="0" w:afterAutospacing="0"/>
              <w:ind w:left="0" w:right="0"/>
              <w:jc w:val="center"/>
              <w:textAlignment w:val="center"/>
              <w:rPr>
                <w:rFonts w:hint="default"/>
                <w:szCs w:val="20"/>
              </w:rPr>
            </w:pPr>
          </w:p>
        </w:tc>
      </w:tr>
      <w:tr w14:paraId="33407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75BD2EBC">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446" w:type="dxa"/>
            <w:vMerge w:val="continue"/>
            <w:tcBorders>
              <w:left w:val="single" w:color="000000" w:sz="4" w:space="0"/>
              <w:right w:val="single" w:color="000000" w:sz="4" w:space="0"/>
            </w:tcBorders>
            <w:noWrap w:val="0"/>
            <w:vAlign w:val="center"/>
          </w:tcPr>
          <w:p w14:paraId="7285D757">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DCC423C">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三层</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2606CE82">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约926.76</w:t>
            </w:r>
            <w:r>
              <w:rPr>
                <w:rFonts w:hint="eastAsia" w:ascii="宋体" w:hAnsi="宋体" w:eastAsia="宋体" w:cs="宋体"/>
                <w:kern w:val="0"/>
                <w:sz w:val="24"/>
                <w:szCs w:val="24"/>
                <w:lang w:val="en-US" w:eastAsia="zh-CN" w:bidi="ar"/>
              </w:rPr>
              <w:t>㎡</w:t>
            </w:r>
          </w:p>
        </w:tc>
        <w:tc>
          <w:tcPr>
            <w:tcW w:w="1455" w:type="dxa"/>
            <w:vMerge w:val="continue"/>
            <w:tcBorders>
              <w:left w:val="single" w:color="000000" w:sz="4" w:space="0"/>
              <w:right w:val="single" w:color="auto" w:sz="4" w:space="0"/>
            </w:tcBorders>
            <w:noWrap w:val="0"/>
            <w:vAlign w:val="center"/>
          </w:tcPr>
          <w:p w14:paraId="38FE39AF">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58" w:type="dxa"/>
            <w:vMerge w:val="continue"/>
            <w:tcBorders>
              <w:left w:val="nil"/>
              <w:right w:val="single" w:color="auto" w:sz="4" w:space="0"/>
            </w:tcBorders>
            <w:noWrap w:val="0"/>
            <w:vAlign w:val="center"/>
          </w:tcPr>
          <w:p w14:paraId="44A90361">
            <w:pPr>
              <w:keepNext w:val="0"/>
              <w:keepLines w:val="0"/>
              <w:widowControl/>
              <w:suppressLineNumbers w:val="0"/>
              <w:spacing w:before="0" w:beforeAutospacing="0" w:after="0" w:afterAutospacing="0"/>
              <w:ind w:left="0" w:right="0"/>
              <w:jc w:val="center"/>
              <w:textAlignment w:val="center"/>
              <w:rPr>
                <w:rFonts w:hint="default"/>
                <w:szCs w:val="20"/>
              </w:rPr>
            </w:pPr>
          </w:p>
        </w:tc>
      </w:tr>
      <w:tr w14:paraId="66C46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275E4586">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446" w:type="dxa"/>
            <w:vMerge w:val="continue"/>
            <w:tcBorders>
              <w:left w:val="single" w:color="000000" w:sz="4" w:space="0"/>
              <w:right w:val="single" w:color="000000" w:sz="4" w:space="0"/>
            </w:tcBorders>
            <w:noWrap w:val="0"/>
            <w:vAlign w:val="center"/>
          </w:tcPr>
          <w:p w14:paraId="1C12952F">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E174BEE">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屋面层</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64EFFEF1">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约254.39</w:t>
            </w:r>
            <w:r>
              <w:rPr>
                <w:rFonts w:hint="eastAsia" w:ascii="宋体" w:hAnsi="宋体" w:eastAsia="宋体" w:cs="宋体"/>
                <w:kern w:val="0"/>
                <w:sz w:val="24"/>
                <w:szCs w:val="24"/>
                <w:lang w:val="en-US" w:eastAsia="zh-CN" w:bidi="ar"/>
              </w:rPr>
              <w:t>㎡</w:t>
            </w:r>
          </w:p>
        </w:tc>
        <w:tc>
          <w:tcPr>
            <w:tcW w:w="1455" w:type="dxa"/>
            <w:vMerge w:val="continue"/>
            <w:tcBorders>
              <w:left w:val="single" w:color="000000" w:sz="4" w:space="0"/>
              <w:right w:val="single" w:color="auto" w:sz="4" w:space="0"/>
            </w:tcBorders>
            <w:noWrap w:val="0"/>
            <w:vAlign w:val="center"/>
          </w:tcPr>
          <w:p w14:paraId="70657FA2">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58" w:type="dxa"/>
            <w:vMerge w:val="continue"/>
            <w:tcBorders>
              <w:left w:val="nil"/>
              <w:right w:val="single" w:color="auto" w:sz="4" w:space="0"/>
            </w:tcBorders>
            <w:noWrap w:val="0"/>
            <w:vAlign w:val="center"/>
          </w:tcPr>
          <w:p w14:paraId="1037E079">
            <w:pPr>
              <w:keepNext w:val="0"/>
              <w:keepLines w:val="0"/>
              <w:widowControl/>
              <w:suppressLineNumbers w:val="0"/>
              <w:spacing w:before="0" w:beforeAutospacing="0" w:after="0" w:afterAutospacing="0"/>
              <w:ind w:left="0" w:right="0"/>
              <w:jc w:val="center"/>
              <w:textAlignment w:val="center"/>
              <w:rPr>
                <w:rFonts w:hint="default"/>
                <w:szCs w:val="20"/>
              </w:rPr>
            </w:pPr>
          </w:p>
        </w:tc>
      </w:tr>
      <w:tr w14:paraId="796CF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7CC134AD">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446" w:type="dxa"/>
            <w:vMerge w:val="continue"/>
            <w:tcBorders>
              <w:left w:val="single" w:color="000000" w:sz="4" w:space="0"/>
              <w:right w:val="single" w:color="000000" w:sz="4" w:space="0"/>
            </w:tcBorders>
            <w:noWrap w:val="0"/>
            <w:vAlign w:val="center"/>
          </w:tcPr>
          <w:p w14:paraId="7998CE92">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E6A2961">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合计</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18DFC8D7">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约3826.53</w:t>
            </w:r>
            <w:r>
              <w:rPr>
                <w:rFonts w:hint="eastAsia" w:ascii="宋体" w:hAnsi="宋体" w:eastAsia="宋体" w:cs="宋体"/>
                <w:kern w:val="0"/>
                <w:sz w:val="24"/>
                <w:szCs w:val="24"/>
                <w:lang w:val="en-US" w:eastAsia="zh-CN" w:bidi="ar"/>
              </w:rPr>
              <w:t>㎡</w:t>
            </w:r>
          </w:p>
        </w:tc>
        <w:tc>
          <w:tcPr>
            <w:tcW w:w="1455" w:type="dxa"/>
            <w:vMerge w:val="continue"/>
            <w:tcBorders>
              <w:left w:val="single" w:color="000000" w:sz="4" w:space="0"/>
              <w:right w:val="single" w:color="auto" w:sz="4" w:space="0"/>
            </w:tcBorders>
            <w:noWrap w:val="0"/>
            <w:vAlign w:val="center"/>
          </w:tcPr>
          <w:p w14:paraId="6F100354">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58" w:type="dxa"/>
            <w:vMerge w:val="continue"/>
            <w:tcBorders>
              <w:left w:val="nil"/>
              <w:right w:val="single" w:color="auto" w:sz="4" w:space="0"/>
            </w:tcBorders>
            <w:noWrap w:val="0"/>
            <w:vAlign w:val="center"/>
          </w:tcPr>
          <w:p w14:paraId="485558F3">
            <w:pPr>
              <w:keepNext w:val="0"/>
              <w:keepLines w:val="0"/>
              <w:widowControl/>
              <w:suppressLineNumbers w:val="0"/>
              <w:spacing w:before="0" w:beforeAutospacing="0" w:after="0" w:afterAutospacing="0"/>
              <w:ind w:left="0" w:right="0"/>
              <w:jc w:val="center"/>
              <w:textAlignment w:val="center"/>
              <w:rPr>
                <w:rFonts w:hint="default"/>
                <w:szCs w:val="20"/>
              </w:rPr>
            </w:pP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5" w:hRule="atLeast"/>
          <w:jc w:val="center"/>
        </w:trPr>
        <w:tc>
          <w:tcPr>
            <w:tcW w:w="9600" w:type="dxa"/>
            <w:gridSpan w:val="6"/>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租期5年，租金（不含税）一年一付，先付后用，第1-3年租金为竞价成交价，第4-5年租金在第3年租金基础上递增3%</w:t>
            </w:r>
            <w:r>
              <w:rPr>
                <w:rFonts w:hint="eastAsia" w:ascii="宋体" w:hAnsi="宋体" w:eastAsia="宋体" w:cs="宋体"/>
                <w:kern w:val="0"/>
                <w:sz w:val="24"/>
                <w:szCs w:val="24"/>
                <w:lang w:val="en-US" w:eastAsia="zh-CN" w:bidi="ar"/>
              </w:rPr>
              <w:t>。</w:t>
            </w:r>
          </w:p>
          <w:p w14:paraId="3815D376">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2.装修期1个月，不计租金及租期。</w:t>
            </w:r>
          </w:p>
          <w:p w14:paraId="640FBCDC">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房产楼面活荷载须控制在2.5KN/㎡以内。</w:t>
            </w:r>
          </w:p>
          <w:p w14:paraId="7529FABC">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w:t>
            </w:r>
            <w:r>
              <w:rPr>
                <w:rFonts w:hint="default" w:ascii="宋体" w:hAnsi="宋体" w:eastAsia="宋体" w:cs="宋体"/>
                <w:kern w:val="0"/>
                <w:sz w:val="24"/>
                <w:szCs w:val="24"/>
                <w:lang w:val="en-US" w:eastAsia="zh-CN" w:bidi="ar"/>
              </w:rPr>
              <w:t>标的物另有一层空地面积约922.37㎡</w:t>
            </w:r>
            <w:r>
              <w:rPr>
                <w:rFonts w:hint="eastAsia" w:ascii="宋体" w:hAnsi="宋体" w:eastAsia="宋体" w:cs="宋体"/>
                <w:kern w:val="0"/>
                <w:sz w:val="24"/>
                <w:szCs w:val="24"/>
                <w:lang w:val="en-US" w:eastAsia="zh-CN" w:bidi="ar"/>
              </w:rPr>
              <w:t>。</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236855</wp:posOffset>
            </wp:positionH>
            <wp:positionV relativeFrom="paragraph">
              <wp:posOffset>-4321810</wp:posOffset>
            </wp:positionV>
            <wp:extent cx="5271770" cy="5833110"/>
            <wp:effectExtent l="0" t="0" r="5080" b="15240"/>
            <wp:wrapNone/>
            <wp:docPr id="2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七一村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租赁履约保证金为首年租金成交价的</w:t>
      </w:r>
      <w:r>
        <w:rPr>
          <w:rFonts w:hint="eastAsia" w:ascii="宋体" w:hAnsi="宋体" w:cs="Times New Roman"/>
          <w:color w:val="auto"/>
          <w:sz w:val="24"/>
          <w:szCs w:val="24"/>
          <w:highlight w:val="none"/>
          <w:u w:val="none"/>
          <w:lang w:val="en-US" w:eastAsia="zh-CN"/>
        </w:rPr>
        <w:t>2</w:t>
      </w:r>
      <w:r>
        <w:rPr>
          <w:rFonts w:hint="eastAsia" w:ascii="宋体" w:hAnsi="宋体" w:eastAsia="宋体" w:cs="Times New Roman"/>
          <w:color w:val="auto"/>
          <w:sz w:val="24"/>
          <w:szCs w:val="24"/>
          <w:highlight w:val="none"/>
          <w:u w:val="none"/>
          <w:lang w:val="en-US" w:eastAsia="zh-CN"/>
        </w:rPr>
        <w:t>0%（取整数）。</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9月16日</w:t>
      </w:r>
      <w:r>
        <w:rPr>
          <w:rFonts w:hint="eastAsia" w:ascii="宋体" w:hAnsi="宋体" w:eastAsia="宋体" w:cs="Times New Roman"/>
          <w:color w:val="auto"/>
          <w:sz w:val="24"/>
          <w:szCs w:val="24"/>
          <w:highlight w:val="none"/>
          <w:u w:val="none"/>
          <w:lang w:val="en-US" w:eastAsia="zh-CN"/>
        </w:rPr>
        <w:t>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温州市龙湾区沙城街道七一村集体经济组织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8月28日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236855</wp:posOffset>
            </wp:positionH>
            <wp:positionV relativeFrom="paragraph">
              <wp:posOffset>-2963545</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2026年8月28日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6432"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6432;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745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745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2026年9月17日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温州市龙湾区沙城街道七一村集体经济组织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3446"/>
        <w:gridCol w:w="1020"/>
        <w:gridCol w:w="1815"/>
        <w:gridCol w:w="1455"/>
        <w:gridCol w:w="1158"/>
      </w:tblGrid>
      <w:tr w14:paraId="4D664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7E5890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446" w:type="dxa"/>
            <w:tcBorders>
              <w:top w:val="single" w:color="000000" w:sz="4" w:space="0"/>
              <w:left w:val="single" w:color="000000" w:sz="4" w:space="0"/>
              <w:bottom w:val="single" w:color="000000" w:sz="4" w:space="0"/>
              <w:right w:val="single" w:color="000000" w:sz="4" w:space="0"/>
            </w:tcBorders>
            <w:noWrap w:val="0"/>
            <w:vAlign w:val="center"/>
          </w:tcPr>
          <w:p w14:paraId="2905DCEC">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835" w:type="dxa"/>
            <w:gridSpan w:val="2"/>
            <w:tcBorders>
              <w:top w:val="single" w:color="000000" w:sz="4" w:space="0"/>
              <w:left w:val="single" w:color="000000" w:sz="4" w:space="0"/>
              <w:bottom w:val="single" w:color="000000" w:sz="4" w:space="0"/>
              <w:right w:val="single" w:color="000000" w:sz="4" w:space="0"/>
            </w:tcBorders>
            <w:noWrap w:val="0"/>
            <w:vAlign w:val="center"/>
          </w:tcPr>
          <w:p w14:paraId="2A992FDC">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55" w:type="dxa"/>
            <w:tcBorders>
              <w:top w:val="single" w:color="000000" w:sz="4" w:space="0"/>
              <w:left w:val="single" w:color="000000" w:sz="4" w:space="0"/>
              <w:bottom w:val="single" w:color="000000" w:sz="4" w:space="0"/>
              <w:right w:val="single" w:color="auto" w:sz="4" w:space="0"/>
            </w:tcBorders>
            <w:noWrap w:val="0"/>
            <w:vAlign w:val="center"/>
          </w:tcPr>
          <w:p w14:paraId="65D7402A">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1442F648">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58" w:type="dxa"/>
            <w:tcBorders>
              <w:top w:val="single" w:color="000000" w:sz="4" w:space="0"/>
              <w:left w:val="nil"/>
              <w:bottom w:val="single" w:color="000000" w:sz="4" w:space="0"/>
              <w:right w:val="single" w:color="auto" w:sz="4" w:space="0"/>
            </w:tcBorders>
            <w:noWrap w:val="0"/>
            <w:vAlign w:val="center"/>
          </w:tcPr>
          <w:p w14:paraId="005F65C1">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483BCEF3">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3DB22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restart"/>
            <w:tcBorders>
              <w:top w:val="single" w:color="000000" w:sz="4" w:space="0"/>
              <w:left w:val="single" w:color="auto" w:sz="4" w:space="0"/>
              <w:right w:val="single" w:color="000000" w:sz="4" w:space="0"/>
            </w:tcBorders>
            <w:noWrap w:val="0"/>
            <w:vAlign w:val="center"/>
          </w:tcPr>
          <w:p w14:paraId="7AD8AF64">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3446" w:type="dxa"/>
            <w:vMerge w:val="restart"/>
            <w:tcBorders>
              <w:top w:val="single" w:color="000000" w:sz="4" w:space="0"/>
              <w:left w:val="single" w:color="000000" w:sz="4" w:space="0"/>
              <w:right w:val="single" w:color="000000" w:sz="4" w:space="0"/>
            </w:tcBorders>
            <w:noWrap w:val="0"/>
            <w:vAlign w:val="center"/>
          </w:tcPr>
          <w:p w14:paraId="5FC95F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bCs/>
                <w:kern w:val="2"/>
                <w:sz w:val="24"/>
                <w:szCs w:val="24"/>
                <w:highlight w:val="none"/>
                <w:u w:val="none"/>
                <w:lang w:val="en-US" w:eastAsia="zh-CN" w:bidi="ar-SA"/>
              </w:rPr>
              <w:t xml:space="preserve">温州市龙湾区沙城街道原龙湾区沙城第一小学朝霞校区（中宁街2号后面）五年租赁权 </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EA9E9A7">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一层   </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1873A1A7">
            <w:pPr>
              <w:keepNext w:val="0"/>
              <w:keepLines w:val="0"/>
              <w:suppressLineNumbers w:val="0"/>
              <w:spacing w:before="0" w:beforeAutospacing="0" w:after="0" w:afterAutospacing="0" w:line="300" w:lineRule="exact"/>
              <w:ind w:left="0" w:right="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约1311.68</w:t>
            </w:r>
            <w:r>
              <w:rPr>
                <w:rFonts w:hint="eastAsia" w:ascii="宋体" w:hAnsi="宋体" w:eastAsia="宋体" w:cs="宋体"/>
                <w:kern w:val="0"/>
                <w:sz w:val="24"/>
                <w:szCs w:val="24"/>
                <w:lang w:val="en-US" w:eastAsia="zh-CN" w:bidi="ar"/>
              </w:rPr>
              <w:t>㎡</w:t>
            </w:r>
          </w:p>
        </w:tc>
        <w:tc>
          <w:tcPr>
            <w:tcW w:w="1455" w:type="dxa"/>
            <w:vMerge w:val="restart"/>
            <w:tcBorders>
              <w:top w:val="single" w:color="000000" w:sz="4" w:space="0"/>
              <w:left w:val="single" w:color="000000" w:sz="4" w:space="0"/>
              <w:right w:val="single" w:color="auto" w:sz="4" w:space="0"/>
            </w:tcBorders>
            <w:noWrap w:val="0"/>
            <w:vAlign w:val="center"/>
          </w:tcPr>
          <w:p w14:paraId="5F86BC02">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kern w:val="2"/>
                <w:sz w:val="24"/>
                <w:szCs w:val="24"/>
                <w:highlight w:val="none"/>
                <w:lang w:val="en-US" w:eastAsia="zh-CN"/>
              </w:rPr>
            </w:pPr>
            <w:r>
              <w:rPr>
                <w:rFonts w:hint="eastAsia" w:ascii="宋体" w:hAnsi="宋体" w:cs="宋体"/>
                <w:bCs/>
                <w:color w:val="auto"/>
                <w:kern w:val="2"/>
                <w:sz w:val="24"/>
                <w:szCs w:val="24"/>
                <w:highlight w:val="none"/>
                <w:u w:val="none"/>
                <w:lang w:val="en-US" w:eastAsia="zh-CN" w:bidi="ar-SA"/>
              </w:rPr>
              <w:t>495914</w:t>
            </w:r>
            <w:r>
              <w:rPr>
                <w:rFonts w:hint="eastAsia" w:ascii="宋体" w:hAnsi="宋体" w:eastAsia="宋体" w:cs="宋体"/>
                <w:bCs/>
                <w:color w:val="auto"/>
                <w:kern w:val="2"/>
                <w:sz w:val="24"/>
                <w:szCs w:val="24"/>
                <w:highlight w:val="none"/>
                <w:u w:val="none"/>
                <w:lang w:val="en-US" w:eastAsia="zh-CN" w:bidi="ar-SA"/>
              </w:rPr>
              <w:t xml:space="preserve">元      </w:t>
            </w:r>
          </w:p>
        </w:tc>
        <w:tc>
          <w:tcPr>
            <w:tcW w:w="1158" w:type="dxa"/>
            <w:vMerge w:val="restart"/>
            <w:tcBorders>
              <w:top w:val="single" w:color="000000" w:sz="4" w:space="0"/>
              <w:left w:val="nil"/>
              <w:right w:val="single" w:color="auto" w:sz="4" w:space="0"/>
            </w:tcBorders>
            <w:noWrap w:val="0"/>
            <w:vAlign w:val="center"/>
          </w:tcPr>
          <w:p w14:paraId="2F48EDFE">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cs="宋体"/>
                <w:bCs/>
                <w:kern w:val="2"/>
                <w:sz w:val="24"/>
                <w:szCs w:val="24"/>
                <w:highlight w:val="none"/>
                <w:u w:val="none"/>
                <w:lang w:val="en-US" w:eastAsia="zh-CN" w:bidi="ar-SA"/>
              </w:rPr>
              <w:t>49</w:t>
            </w:r>
            <w:r>
              <w:rPr>
                <w:rFonts w:hint="eastAsia" w:ascii="宋体" w:hAnsi="宋体" w:eastAsia="宋体" w:cs="宋体"/>
                <w:bCs/>
                <w:kern w:val="2"/>
                <w:sz w:val="24"/>
                <w:szCs w:val="24"/>
                <w:highlight w:val="none"/>
                <w:u w:val="none"/>
                <w:lang w:val="en-US" w:eastAsia="zh-CN" w:bidi="ar-SA"/>
              </w:rPr>
              <w:t xml:space="preserve">万元    </w:t>
            </w:r>
          </w:p>
        </w:tc>
      </w:tr>
      <w:tr w14:paraId="29E18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17B705A4">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446" w:type="dxa"/>
            <w:vMerge w:val="continue"/>
            <w:tcBorders>
              <w:left w:val="single" w:color="000000" w:sz="4" w:space="0"/>
              <w:right w:val="single" w:color="000000" w:sz="4" w:space="0"/>
            </w:tcBorders>
            <w:noWrap w:val="0"/>
            <w:vAlign w:val="center"/>
          </w:tcPr>
          <w:p w14:paraId="53881AC0">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5FA44A5">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二层</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01CD1700">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约1333.7</w:t>
            </w:r>
            <w:r>
              <w:rPr>
                <w:rFonts w:hint="eastAsia" w:ascii="宋体" w:hAnsi="宋体" w:eastAsia="宋体" w:cs="宋体"/>
                <w:kern w:val="0"/>
                <w:sz w:val="24"/>
                <w:szCs w:val="24"/>
                <w:lang w:val="en-US" w:eastAsia="zh-CN" w:bidi="ar"/>
              </w:rPr>
              <w:t>㎡</w:t>
            </w:r>
          </w:p>
        </w:tc>
        <w:tc>
          <w:tcPr>
            <w:tcW w:w="1455" w:type="dxa"/>
            <w:vMerge w:val="continue"/>
            <w:tcBorders>
              <w:left w:val="single" w:color="000000" w:sz="4" w:space="0"/>
              <w:right w:val="single" w:color="auto" w:sz="4" w:space="0"/>
            </w:tcBorders>
            <w:noWrap w:val="0"/>
            <w:vAlign w:val="center"/>
          </w:tcPr>
          <w:p w14:paraId="4D242B44">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58" w:type="dxa"/>
            <w:vMerge w:val="continue"/>
            <w:tcBorders>
              <w:left w:val="nil"/>
              <w:right w:val="single" w:color="auto" w:sz="4" w:space="0"/>
            </w:tcBorders>
            <w:noWrap w:val="0"/>
            <w:vAlign w:val="center"/>
          </w:tcPr>
          <w:p w14:paraId="2670DAA7">
            <w:pPr>
              <w:keepNext w:val="0"/>
              <w:keepLines w:val="0"/>
              <w:widowControl/>
              <w:suppressLineNumbers w:val="0"/>
              <w:spacing w:before="0" w:beforeAutospacing="0" w:after="0" w:afterAutospacing="0"/>
              <w:ind w:left="0" w:right="0"/>
              <w:jc w:val="center"/>
              <w:textAlignment w:val="center"/>
              <w:rPr>
                <w:rFonts w:hint="default"/>
                <w:szCs w:val="20"/>
              </w:rPr>
            </w:pPr>
          </w:p>
        </w:tc>
      </w:tr>
      <w:tr w14:paraId="67A15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6EBC5223">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446" w:type="dxa"/>
            <w:vMerge w:val="continue"/>
            <w:tcBorders>
              <w:left w:val="single" w:color="000000" w:sz="4" w:space="0"/>
              <w:right w:val="single" w:color="000000" w:sz="4" w:space="0"/>
            </w:tcBorders>
            <w:noWrap w:val="0"/>
            <w:vAlign w:val="center"/>
          </w:tcPr>
          <w:p w14:paraId="6C9D59D3">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2CF6213">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三层</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4A71CFBC">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约926.76</w:t>
            </w:r>
            <w:r>
              <w:rPr>
                <w:rFonts w:hint="eastAsia" w:ascii="宋体" w:hAnsi="宋体" w:eastAsia="宋体" w:cs="宋体"/>
                <w:kern w:val="0"/>
                <w:sz w:val="24"/>
                <w:szCs w:val="24"/>
                <w:lang w:val="en-US" w:eastAsia="zh-CN" w:bidi="ar"/>
              </w:rPr>
              <w:t>㎡</w:t>
            </w:r>
          </w:p>
        </w:tc>
        <w:tc>
          <w:tcPr>
            <w:tcW w:w="1455" w:type="dxa"/>
            <w:vMerge w:val="continue"/>
            <w:tcBorders>
              <w:left w:val="single" w:color="000000" w:sz="4" w:space="0"/>
              <w:right w:val="single" w:color="auto" w:sz="4" w:space="0"/>
            </w:tcBorders>
            <w:noWrap w:val="0"/>
            <w:vAlign w:val="center"/>
          </w:tcPr>
          <w:p w14:paraId="076A78B3">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58" w:type="dxa"/>
            <w:vMerge w:val="continue"/>
            <w:tcBorders>
              <w:left w:val="nil"/>
              <w:right w:val="single" w:color="auto" w:sz="4" w:space="0"/>
            </w:tcBorders>
            <w:noWrap w:val="0"/>
            <w:vAlign w:val="center"/>
          </w:tcPr>
          <w:p w14:paraId="2075AB67">
            <w:pPr>
              <w:keepNext w:val="0"/>
              <w:keepLines w:val="0"/>
              <w:widowControl/>
              <w:suppressLineNumbers w:val="0"/>
              <w:spacing w:before="0" w:beforeAutospacing="0" w:after="0" w:afterAutospacing="0"/>
              <w:ind w:left="0" w:right="0"/>
              <w:jc w:val="center"/>
              <w:textAlignment w:val="center"/>
              <w:rPr>
                <w:rFonts w:hint="default"/>
                <w:szCs w:val="20"/>
              </w:rPr>
            </w:pPr>
          </w:p>
        </w:tc>
      </w:tr>
      <w:tr w14:paraId="1E326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06" w:type="dxa"/>
            <w:vMerge w:val="continue"/>
            <w:tcBorders>
              <w:left w:val="single" w:color="auto" w:sz="4" w:space="0"/>
              <w:right w:val="single" w:color="000000" w:sz="4" w:space="0"/>
            </w:tcBorders>
            <w:noWrap w:val="0"/>
            <w:vAlign w:val="center"/>
          </w:tcPr>
          <w:p w14:paraId="151D20B6">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446" w:type="dxa"/>
            <w:vMerge w:val="continue"/>
            <w:tcBorders>
              <w:left w:val="single" w:color="000000" w:sz="4" w:space="0"/>
              <w:right w:val="single" w:color="000000" w:sz="4" w:space="0"/>
            </w:tcBorders>
            <w:noWrap w:val="0"/>
            <w:vAlign w:val="center"/>
          </w:tcPr>
          <w:p w14:paraId="3D4C5DDC">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223EE22">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屋面层</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27D85F87">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约254.39</w:t>
            </w:r>
            <w:r>
              <w:rPr>
                <w:rFonts w:hint="eastAsia" w:ascii="宋体" w:hAnsi="宋体" w:eastAsia="宋体" w:cs="宋体"/>
                <w:kern w:val="0"/>
                <w:sz w:val="24"/>
                <w:szCs w:val="24"/>
                <w:lang w:val="en-US" w:eastAsia="zh-CN" w:bidi="ar"/>
              </w:rPr>
              <w:t>㎡</w:t>
            </w:r>
          </w:p>
        </w:tc>
        <w:tc>
          <w:tcPr>
            <w:tcW w:w="1455" w:type="dxa"/>
            <w:vMerge w:val="continue"/>
            <w:tcBorders>
              <w:left w:val="single" w:color="000000" w:sz="4" w:space="0"/>
              <w:right w:val="single" w:color="auto" w:sz="4" w:space="0"/>
            </w:tcBorders>
            <w:noWrap w:val="0"/>
            <w:vAlign w:val="center"/>
          </w:tcPr>
          <w:p w14:paraId="2F007D49">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58" w:type="dxa"/>
            <w:vMerge w:val="continue"/>
            <w:tcBorders>
              <w:left w:val="nil"/>
              <w:right w:val="single" w:color="auto" w:sz="4" w:space="0"/>
            </w:tcBorders>
            <w:noWrap w:val="0"/>
            <w:vAlign w:val="center"/>
          </w:tcPr>
          <w:p w14:paraId="1691387C">
            <w:pPr>
              <w:keepNext w:val="0"/>
              <w:keepLines w:val="0"/>
              <w:widowControl/>
              <w:suppressLineNumbers w:val="0"/>
              <w:spacing w:before="0" w:beforeAutospacing="0" w:after="0" w:afterAutospacing="0"/>
              <w:ind w:left="0" w:right="0"/>
              <w:jc w:val="center"/>
              <w:textAlignment w:val="center"/>
              <w:rPr>
                <w:rFonts w:hint="default"/>
                <w:szCs w:val="20"/>
              </w:rPr>
            </w:pPr>
          </w:p>
        </w:tc>
      </w:tr>
      <w:tr w14:paraId="7D0C0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706" w:type="dxa"/>
            <w:vMerge w:val="continue"/>
            <w:tcBorders>
              <w:left w:val="single" w:color="auto" w:sz="4" w:space="0"/>
              <w:right w:val="single" w:color="000000" w:sz="4" w:space="0"/>
            </w:tcBorders>
            <w:noWrap w:val="0"/>
            <w:vAlign w:val="center"/>
          </w:tcPr>
          <w:p w14:paraId="654A6633">
            <w:pPr>
              <w:keepNext w:val="0"/>
              <w:keepLines w:val="0"/>
              <w:widowControl/>
              <w:suppressLineNumbers w:val="0"/>
              <w:spacing w:before="0" w:beforeAutospacing="0" w:after="0" w:afterAutospacing="0"/>
              <w:ind w:left="0" w:right="0"/>
              <w:jc w:val="center"/>
              <w:textAlignment w:val="center"/>
              <w:rPr>
                <w:rFonts w:hint="default"/>
                <w:szCs w:val="20"/>
              </w:rPr>
            </w:pPr>
          </w:p>
        </w:tc>
        <w:tc>
          <w:tcPr>
            <w:tcW w:w="3446" w:type="dxa"/>
            <w:vMerge w:val="continue"/>
            <w:tcBorders>
              <w:left w:val="single" w:color="000000" w:sz="4" w:space="0"/>
              <w:right w:val="single" w:color="000000" w:sz="4" w:space="0"/>
            </w:tcBorders>
            <w:noWrap w:val="0"/>
            <w:vAlign w:val="center"/>
          </w:tcPr>
          <w:p w14:paraId="3F288588">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E95F367">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合计</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225944AD">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sz w:val="24"/>
                <w:szCs w:val="24"/>
                <w:lang w:val="en-US" w:eastAsia="zh-CN"/>
              </w:rPr>
              <w:t>约3826.53</w:t>
            </w:r>
            <w:r>
              <w:rPr>
                <w:rFonts w:hint="eastAsia" w:ascii="宋体" w:hAnsi="宋体" w:eastAsia="宋体" w:cs="宋体"/>
                <w:kern w:val="0"/>
                <w:sz w:val="24"/>
                <w:szCs w:val="24"/>
                <w:lang w:val="en-US" w:eastAsia="zh-CN" w:bidi="ar"/>
              </w:rPr>
              <w:t>㎡</w:t>
            </w:r>
          </w:p>
        </w:tc>
        <w:tc>
          <w:tcPr>
            <w:tcW w:w="1455" w:type="dxa"/>
            <w:vMerge w:val="continue"/>
            <w:tcBorders>
              <w:left w:val="single" w:color="000000" w:sz="4" w:space="0"/>
              <w:right w:val="single" w:color="auto" w:sz="4" w:space="0"/>
            </w:tcBorders>
            <w:noWrap w:val="0"/>
            <w:vAlign w:val="center"/>
          </w:tcPr>
          <w:p w14:paraId="03E8CA68">
            <w:pPr>
              <w:keepNext w:val="0"/>
              <w:keepLines w:val="0"/>
              <w:widowControl/>
              <w:suppressLineNumbers w:val="0"/>
              <w:spacing w:before="0" w:beforeAutospacing="0" w:after="0" w:afterAutospacing="0"/>
              <w:ind w:left="0" w:right="0"/>
              <w:jc w:val="center"/>
              <w:textAlignment w:val="center"/>
              <w:rPr>
                <w:rFonts w:hint="default"/>
                <w:szCs w:val="20"/>
              </w:rPr>
            </w:pPr>
          </w:p>
        </w:tc>
        <w:tc>
          <w:tcPr>
            <w:tcW w:w="1158" w:type="dxa"/>
            <w:vMerge w:val="continue"/>
            <w:tcBorders>
              <w:left w:val="nil"/>
              <w:right w:val="single" w:color="auto" w:sz="4" w:space="0"/>
            </w:tcBorders>
            <w:noWrap w:val="0"/>
            <w:vAlign w:val="center"/>
          </w:tcPr>
          <w:p w14:paraId="43ABC46C">
            <w:pPr>
              <w:keepNext w:val="0"/>
              <w:keepLines w:val="0"/>
              <w:widowControl/>
              <w:suppressLineNumbers w:val="0"/>
              <w:spacing w:before="0" w:beforeAutospacing="0" w:after="0" w:afterAutospacing="0"/>
              <w:ind w:left="0" w:right="0"/>
              <w:jc w:val="center"/>
              <w:textAlignment w:val="center"/>
              <w:rPr>
                <w:rFonts w:hint="default"/>
                <w:szCs w:val="20"/>
              </w:rPr>
            </w:pPr>
          </w:p>
        </w:tc>
      </w:tr>
      <w:tr w14:paraId="6A59E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5" w:hRule="atLeast"/>
          <w:jc w:val="center"/>
        </w:trPr>
        <w:tc>
          <w:tcPr>
            <w:tcW w:w="9600" w:type="dxa"/>
            <w:gridSpan w:val="6"/>
            <w:tcBorders>
              <w:top w:val="single" w:color="000000" w:sz="4" w:space="0"/>
              <w:left w:val="single" w:color="auto" w:sz="4" w:space="0"/>
              <w:bottom w:val="single" w:color="000000" w:sz="4" w:space="0"/>
              <w:right w:val="single" w:color="auto" w:sz="4" w:space="0"/>
            </w:tcBorders>
            <w:noWrap w:val="0"/>
            <w:vAlign w:val="center"/>
          </w:tcPr>
          <w:p w14:paraId="0669E41E">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租期5年，租金（不含税）一年一付，先付后用，第1-3年租金为竞价成交价，第4-5年租金在第3年租金基础上递增3%</w:t>
            </w:r>
            <w:r>
              <w:rPr>
                <w:rFonts w:hint="eastAsia" w:ascii="宋体" w:hAnsi="宋体" w:eastAsia="宋体" w:cs="宋体"/>
                <w:kern w:val="0"/>
                <w:sz w:val="24"/>
                <w:szCs w:val="24"/>
                <w:lang w:val="en-US" w:eastAsia="zh-CN" w:bidi="ar"/>
              </w:rPr>
              <w:t>。</w:t>
            </w:r>
          </w:p>
          <w:p w14:paraId="4859CE60">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2.装修期1个月，不计租金及租期。</w:t>
            </w:r>
          </w:p>
          <w:p w14:paraId="5BF88240">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房产楼面活荷载须控制在2.5KN/㎡以内。</w:t>
            </w:r>
          </w:p>
          <w:p w14:paraId="64879CA8">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w:t>
            </w:r>
            <w:r>
              <w:rPr>
                <w:rFonts w:hint="default" w:ascii="宋体" w:hAnsi="宋体" w:eastAsia="宋体" w:cs="宋体"/>
                <w:kern w:val="0"/>
                <w:sz w:val="24"/>
                <w:szCs w:val="24"/>
                <w:lang w:val="en-US" w:eastAsia="zh-CN" w:bidi="ar"/>
              </w:rPr>
              <w:t>标的物另有一层空地面积约922.37㎡</w:t>
            </w:r>
            <w:r>
              <w:rPr>
                <w:rFonts w:hint="eastAsia" w:ascii="宋体" w:hAnsi="宋体" w:eastAsia="宋体" w:cs="宋体"/>
                <w:kern w:val="0"/>
                <w:sz w:val="24"/>
                <w:szCs w:val="24"/>
                <w:lang w:val="en-US" w:eastAsia="zh-CN" w:bidi="ar"/>
              </w:rPr>
              <w:t>。</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236855</wp:posOffset>
            </wp:positionH>
            <wp:positionV relativeFrom="paragraph">
              <wp:posOffset>-3026410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人按移交时的现场现状移交给竞得人。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w:t>
      </w:r>
      <w:r>
        <w:rPr>
          <w:rFonts w:hint="eastAsia" w:ascii="宋体" w:hAnsi="宋体"/>
          <w:sz w:val="24"/>
          <w:szCs w:val="24"/>
          <w:lang w:eastAsia="zh-CN"/>
        </w:rPr>
        <w:t>、</w:t>
      </w:r>
      <w:r>
        <w:rPr>
          <w:rFonts w:hint="eastAsia" w:ascii="宋体" w:hAnsi="宋体"/>
          <w:sz w:val="24"/>
          <w:szCs w:val="24"/>
          <w:lang w:val="en-US" w:eastAsia="zh-CN"/>
        </w:rPr>
        <w:t>物业</w:t>
      </w:r>
      <w:r>
        <w:rPr>
          <w:rFonts w:hint="eastAsia" w:ascii="宋体" w:hAnsi="宋体"/>
          <w:sz w:val="24"/>
          <w:szCs w:val="24"/>
        </w:rPr>
        <w:t>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w:t>
      </w: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236855</wp:posOffset>
            </wp:positionH>
            <wp:positionV relativeFrom="paragraph">
              <wp:posOffset>-3211830</wp:posOffset>
            </wp:positionV>
            <wp:extent cx="5271770" cy="5833110"/>
            <wp:effectExtent l="0" t="0" r="5080" b="15240"/>
            <wp:wrapNone/>
            <wp:docPr id="11"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2026年8月28日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8480"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8480;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9月17日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租期5年，租金（不含税）一年一付，先付后用，第1-3年租金为竞价成交价，第4-5年租金在第3年租金基础上递增3%。</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24</w:t>
      </w:r>
      <w:bookmarkStart w:id="0" w:name="_GoBack"/>
      <w:bookmarkEnd w:id="0"/>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具体租赁事项以竞得人与温州市龙湾区沙城街道七一村集体经济组织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163D2CD3">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温州市龙湾区沙城街道七一村集体经济组织          </w:t>
      </w:r>
      <w:r>
        <w:rPr>
          <w:rFonts w:hint="eastAsia" w:ascii="宋体" w:hAnsi="宋体" w:cs="宋体"/>
          <w:color w:val="auto"/>
          <w:sz w:val="24"/>
          <w:szCs w:val="24"/>
          <w:highlight w:val="none"/>
        </w:rPr>
        <w:t>（以下简称甲方）</w:t>
      </w:r>
    </w:p>
    <w:p w14:paraId="1A20A5E5">
      <w:pPr>
        <w:spacing w:line="380" w:lineRule="exact"/>
        <w:ind w:firstLine="720" w:firstLineChars="3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64C46149">
      <w:pPr>
        <w:spacing w:line="380" w:lineRule="exact"/>
        <w:ind w:firstLine="720" w:firstLineChars="3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1AD5EE6">
      <w:pPr>
        <w:spacing w:line="380" w:lineRule="exact"/>
        <w:ind w:firstLine="720" w:firstLineChars="3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70F031C4">
      <w:pPr>
        <w:spacing w:line="380" w:lineRule="exact"/>
        <w:ind w:firstLine="720" w:firstLineChars="300"/>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27D6D52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396C4AB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1B9C7648">
      <w:pPr>
        <w:keepNext w:val="0"/>
        <w:keepLines w:val="0"/>
        <w:pageBreakBefore w:val="0"/>
        <w:widowControl w:val="0"/>
        <w:kinsoku/>
        <w:wordWrap w:val="0"/>
        <w:overflowPunct/>
        <w:topLinePunct w:val="0"/>
        <w:autoSpaceDE/>
        <w:autoSpaceDN/>
        <w:bidi w:val="0"/>
        <w:adjustRightInd/>
        <w:snapToGrid/>
        <w:spacing w:line="40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w:t>
      </w:r>
      <w:r>
        <w:rPr>
          <w:rFonts w:hint="eastAsia" w:ascii="宋体" w:hAnsi="宋体" w:cs="宋体"/>
          <w:color w:val="auto"/>
          <w:sz w:val="24"/>
          <w:szCs w:val="24"/>
          <w:highlight w:val="none"/>
          <w:lang w:val="en-US" w:eastAsia="zh-CN"/>
        </w:rPr>
        <w:t>建筑</w:t>
      </w:r>
      <w:r>
        <w:rPr>
          <w:rFonts w:hint="eastAsia" w:ascii="宋体" w:hAnsi="宋体" w:cs="宋体"/>
          <w:color w:val="auto"/>
          <w:sz w:val="24"/>
          <w:szCs w:val="24"/>
          <w:highlight w:val="none"/>
        </w:rPr>
        <w:t>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78D57A21">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4541491D">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 </w:t>
      </w:r>
      <w:r>
        <w:rPr>
          <w:rFonts w:hint="eastAsia" w:ascii="宋体" w:hAnsi="宋体" w:cs="宋体"/>
          <w:color w:val="auto"/>
          <w:szCs w:val="24"/>
          <w:highlight w:val="none"/>
          <w:lang w:val="en-US" w:eastAsia="zh-CN"/>
        </w:rPr>
        <w:t>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none"/>
          <w:lang w:eastAsia="zh-CN"/>
        </w:rPr>
        <w:t>。</w:t>
      </w:r>
    </w:p>
    <w:p w14:paraId="44643BD0">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7E83D9AF">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4298175">
      <w:pPr>
        <w:pStyle w:val="4"/>
        <w:keepNext w:val="0"/>
        <w:keepLines w:val="0"/>
        <w:pageBreakBefore w:val="0"/>
        <w:widowControl w:val="0"/>
        <w:kinsoku/>
        <w:overflowPunct/>
        <w:topLinePunct w:val="0"/>
        <w:autoSpaceDE/>
        <w:autoSpaceDN/>
        <w:bidi w:val="0"/>
        <w:adjustRightInd/>
        <w:snapToGrid/>
        <w:spacing w:line="400" w:lineRule="exact"/>
        <w:ind w:firstLine="482"/>
        <w:textAlignment w:val="auto"/>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57A89652">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3A9B3E9B">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F8C564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018F9BD6">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-4366260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BF0939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50F08C9">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9ECCAD0">
      <w:pPr>
        <w:pStyle w:val="4"/>
        <w:keepNext w:val="0"/>
        <w:keepLines w:val="0"/>
        <w:pageBreakBefore w:val="0"/>
        <w:widowControl w:val="0"/>
        <w:kinsoku/>
        <w:overflowPunct/>
        <w:topLinePunct w:val="0"/>
        <w:autoSpaceDE/>
        <w:autoSpaceDN/>
        <w:bidi w:val="0"/>
        <w:adjustRightInd/>
        <w:snapToGrid/>
        <w:spacing w:line="400" w:lineRule="exact"/>
        <w:ind w:left="0" w:leftChars="0" w:firstLine="480" w:firstLineChars="200"/>
        <w:textAlignment w:val="auto"/>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6.</w:t>
      </w:r>
      <w:r>
        <w:rPr>
          <w:rFonts w:hint="eastAsia" w:ascii="宋体" w:hAnsi="宋体" w:cs="宋体"/>
          <w:color w:val="auto"/>
          <w:szCs w:val="24"/>
          <w:highlight w:val="none"/>
          <w:u w:val="single"/>
          <w:lang w:val="en-US" w:eastAsia="zh-CN"/>
        </w:rPr>
        <w:t>租期5年，租金（不含税）一年一付，先付后用，第1-3年租金为竞价成交价，第4-5年租金在第3年租金基础上递增3%</w:t>
      </w:r>
      <w:r>
        <w:rPr>
          <w:rFonts w:hint="eastAsia" w:ascii="宋体" w:hAnsi="宋体" w:eastAsia="宋体" w:cs="宋体"/>
          <w:color w:val="auto"/>
          <w:szCs w:val="24"/>
          <w:highlight w:val="none"/>
          <w:u w:val="single"/>
          <w:lang w:val="en-US" w:eastAsia="zh-CN"/>
        </w:rPr>
        <w:t>。</w:t>
      </w:r>
      <w:r>
        <w:rPr>
          <w:rFonts w:hint="eastAsia" w:ascii="宋体" w:hAnsi="宋体" w:cs="宋体"/>
          <w:color w:val="auto"/>
          <w:szCs w:val="24"/>
          <w:highlight w:val="none"/>
          <w:u w:val="single"/>
          <w:lang w:val="en-US" w:eastAsia="zh-CN"/>
        </w:rPr>
        <w:t>下期租金应在上期租赁期限届满前1个月付清。</w:t>
      </w:r>
    </w:p>
    <w:p w14:paraId="5BFAD865">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5B528B2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rPr>
      </w:pPr>
      <w:r>
        <w:rPr>
          <w:rFonts w:hint="eastAsia" w:ascii="宋体" w:hAnsi="宋体" w:cs="宋体"/>
          <w:color w:val="auto"/>
          <w:szCs w:val="24"/>
          <w:highlight w:val="none"/>
        </w:rPr>
        <w:t>（三）</w:t>
      </w:r>
      <w:r>
        <w:rPr>
          <w:rFonts w:hint="eastAsia" w:ascii="宋体" w:hAnsi="宋体" w:cs="宋体"/>
          <w:sz w:val="24"/>
          <w:szCs w:val="24"/>
          <w:lang w:eastAsia="zh-CN"/>
        </w:rPr>
        <w:t>租金不含税，甲方收齐</w:t>
      </w:r>
      <w:r>
        <w:rPr>
          <w:rFonts w:hint="eastAsia" w:ascii="宋体" w:hAnsi="宋体" w:cs="宋体"/>
          <w:sz w:val="24"/>
          <w:szCs w:val="24"/>
          <w:lang w:val="en-US" w:eastAsia="zh-CN"/>
        </w:rPr>
        <w:t>首</w:t>
      </w:r>
      <w:r>
        <w:rPr>
          <w:rFonts w:hint="eastAsia" w:ascii="宋体" w:hAnsi="宋体" w:cs="宋体"/>
          <w:sz w:val="24"/>
          <w:szCs w:val="24"/>
          <w:lang w:eastAsia="zh-CN"/>
        </w:rPr>
        <w:t>年租金后向乙方开具</w:t>
      </w:r>
      <w:r>
        <w:rPr>
          <w:rFonts w:hint="eastAsia" w:ascii="宋体" w:hAnsi="宋体" w:cs="宋体"/>
          <w:sz w:val="24"/>
          <w:szCs w:val="24"/>
          <w:lang w:val="en-US" w:eastAsia="zh-CN"/>
        </w:rPr>
        <w:t>租金发票，租赁税等一切租赁期间产生的税、费均由乙方承担并结算（含甲方因租赁关系需向税务等有关部门缴纳的一切税费）</w:t>
      </w:r>
      <w:r>
        <w:rPr>
          <w:rFonts w:hint="eastAsia" w:ascii="宋体" w:hAnsi="宋体" w:cs="宋体"/>
          <w:color w:val="auto"/>
          <w:szCs w:val="24"/>
          <w:highlight w:val="none"/>
        </w:rPr>
        <w:t>。</w:t>
      </w:r>
    </w:p>
    <w:p w14:paraId="23E9774C">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1FABC3B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第四条  租赁房产交付标准</w:t>
      </w:r>
    </w:p>
    <w:p w14:paraId="03E15F5A">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48CD7E1B">
      <w:pPr>
        <w:keepNext w:val="0"/>
        <w:keepLines w:val="0"/>
        <w:pageBreakBefore w:val="0"/>
        <w:widowControl w:val="0"/>
        <w:tabs>
          <w:tab w:val="left" w:pos="1620"/>
          <w:tab w:val="left" w:pos="1800"/>
        </w:tabs>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第五条  租赁期间房产维护及其他事项</w:t>
      </w:r>
    </w:p>
    <w:p w14:paraId="7ADB030F">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7D879C5B">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288FF7D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30F56785">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47C61B0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F9C3E7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-3058160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1D71DD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6DC73862">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7DBDC24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576E0D8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40D9A44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55327F2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50ED151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第六条 租赁合同的变更、解除和终止</w:t>
      </w:r>
    </w:p>
    <w:p w14:paraId="534970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27F5D64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79DDCF4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26711B8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（四）租赁期间，乙方有下列情形之一的，甲方有权解除租赁合同：</w:t>
      </w:r>
    </w:p>
    <w:p w14:paraId="60F6DF9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1490B18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47468C5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0B223C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-2042160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拖欠租金超过壹个月的。</w:t>
      </w:r>
    </w:p>
    <w:p w14:paraId="0C982D17">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5659EFA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80AD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403A0D0A">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AE903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（五）租赁期间，甲方有下列情形之一的，乙方有权解除租赁合同：</w:t>
      </w:r>
    </w:p>
    <w:p w14:paraId="7650B50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AB4F2A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058BEF6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093042B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（七）租赁合同终止：</w:t>
      </w:r>
    </w:p>
    <w:p w14:paraId="357F9C57">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1E831E5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36AFC9D">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091D76CA">
      <w:pPr>
        <w:keepNext w:val="0"/>
        <w:keepLines w:val="0"/>
        <w:pageBreakBefore w:val="0"/>
        <w:widowControl w:val="0"/>
        <w:tabs>
          <w:tab w:val="left" w:pos="2520"/>
        </w:tabs>
        <w:kinsoku/>
        <w:overflowPunct/>
        <w:topLinePunct w:val="0"/>
        <w:autoSpaceDE/>
        <w:autoSpaceDN/>
        <w:bidi w:val="0"/>
        <w:adjustRightInd/>
        <w:snapToGrid/>
        <w:spacing w:line="400" w:lineRule="exact"/>
        <w:ind w:left="304" w:leftChars="145" w:firstLine="241" w:firstLineChars="100"/>
        <w:textAlignment w:val="auto"/>
        <w:rPr>
          <w:rFonts w:ascii="宋体" w:hAnsi="宋体" w:cs="宋体"/>
          <w:sz w:val="24"/>
          <w:szCs w:val="24"/>
        </w:rPr>
      </w:pPr>
      <w:r>
        <w:rPr>
          <w:rFonts w:hint="eastAsia" w:ascii="宋体" w:hAnsi="宋体" w:cs="宋体"/>
          <w:b/>
          <w:sz w:val="24"/>
          <w:szCs w:val="24"/>
        </w:rPr>
        <w:t>第七条  违约责任</w:t>
      </w:r>
    </w:p>
    <w:p w14:paraId="4038A75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5161A07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33F48AE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10730F5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7362BED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1B380EFC">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6FA8DDC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第八条  免责条款</w:t>
      </w:r>
    </w:p>
    <w:p w14:paraId="750AD58E">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（一）租赁期间因自然灾害或</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-1534160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25EB5B38">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427721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3CAF56FA">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第九条  甲方的权利和义务</w:t>
      </w:r>
    </w:p>
    <w:p w14:paraId="23B296A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（一）按合同规定收取租金及相关费用。</w:t>
      </w:r>
    </w:p>
    <w:p w14:paraId="6895C7CE">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6B1F81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（三）向乙方追缴应缴或拖欠的有关费用。</w:t>
      </w:r>
    </w:p>
    <w:p w14:paraId="1F49306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（四）乙方未履行合同约定义务的，责令乙方限期整改完毕。</w:t>
      </w:r>
    </w:p>
    <w:p w14:paraId="2AB9AE2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（五）依据本合同的有关规定解除本合同。</w:t>
      </w:r>
    </w:p>
    <w:p w14:paraId="017BE5C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第十条  乙方的权利及义务</w:t>
      </w:r>
    </w:p>
    <w:p w14:paraId="0D7AC39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（一）按本合同的有关规定取得租赁房产的使用权。</w:t>
      </w:r>
    </w:p>
    <w:p w14:paraId="05D5E45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（二）按时交纳所有应缴费用。</w:t>
      </w:r>
    </w:p>
    <w:p w14:paraId="51CE872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46FACFE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4D0077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48E9FBE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0961585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（七）依据本合同的有关规定解除本合同。</w:t>
      </w:r>
    </w:p>
    <w:p w14:paraId="4A6DEC5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rPr>
        <w:t>第十一条  其他约定</w:t>
      </w:r>
    </w:p>
    <w:p w14:paraId="39C04BC2">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b w:val="0"/>
          <w:bCs/>
          <w:sz w:val="24"/>
          <w:szCs w:val="24"/>
          <w:u w:val="none"/>
          <w:lang w:eastAsia="zh-CN"/>
        </w:rPr>
      </w:pP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一</w:t>
      </w: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租赁物</w:t>
      </w:r>
      <w:r>
        <w:rPr>
          <w:rFonts w:hint="eastAsia" w:ascii="宋体" w:hAnsi="宋体" w:cs="宋体"/>
          <w:b w:val="0"/>
          <w:bCs/>
          <w:sz w:val="24"/>
          <w:szCs w:val="24"/>
          <w:u w:val="none"/>
        </w:rPr>
        <w:t>生产安全、消防安全等一切责任均由</w:t>
      </w:r>
      <w:r>
        <w:rPr>
          <w:rFonts w:hint="eastAsia" w:ascii="宋体" w:hAnsi="宋体" w:cs="宋体"/>
          <w:b w:val="0"/>
          <w:bCs/>
          <w:sz w:val="24"/>
          <w:szCs w:val="24"/>
          <w:u w:val="none"/>
          <w:lang w:val="en-US" w:eastAsia="zh-CN"/>
        </w:rPr>
        <w:t>乙方</w:t>
      </w:r>
      <w:r>
        <w:rPr>
          <w:rFonts w:hint="eastAsia" w:ascii="宋体" w:hAnsi="宋体" w:cs="宋体"/>
          <w:b w:val="0"/>
          <w:bCs/>
          <w:sz w:val="24"/>
          <w:szCs w:val="24"/>
          <w:u w:val="none"/>
        </w:rPr>
        <w:t>自行承担</w:t>
      </w:r>
      <w:r>
        <w:rPr>
          <w:rFonts w:hint="eastAsia" w:ascii="宋体" w:hAnsi="宋体" w:cs="宋体"/>
          <w:b w:val="0"/>
          <w:bCs/>
          <w:sz w:val="24"/>
          <w:szCs w:val="24"/>
          <w:u w:val="none"/>
          <w:lang w:eastAsia="zh-CN"/>
        </w:rPr>
        <w:t>。</w:t>
      </w:r>
    </w:p>
    <w:p w14:paraId="109E55FE">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b w:val="0"/>
          <w:bCs/>
          <w:sz w:val="24"/>
          <w:szCs w:val="24"/>
          <w:u w:val="none"/>
          <w:lang w:eastAsia="zh-CN"/>
        </w:rPr>
      </w:pP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二</w:t>
      </w:r>
      <w:r>
        <w:rPr>
          <w:rFonts w:hint="eastAsia" w:ascii="宋体" w:hAnsi="宋体" w:cs="宋体"/>
          <w:b w:val="0"/>
          <w:bCs/>
          <w:sz w:val="24"/>
          <w:szCs w:val="24"/>
          <w:u w:val="none"/>
          <w:lang w:eastAsia="zh-CN"/>
        </w:rPr>
        <w:t>）房产楼面活荷载须控制在2.5KN/㎡以内。</w:t>
      </w:r>
    </w:p>
    <w:p w14:paraId="70700E2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591D84C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第十二条  争议的解决方式</w:t>
      </w:r>
    </w:p>
    <w:p w14:paraId="38BD4497">
      <w:pPr>
        <w:keepNext w:val="0"/>
        <w:keepLines w:val="0"/>
        <w:pageBreakBefore w:val="0"/>
        <w:widowControl w:val="0"/>
        <w:kinsoku/>
        <w:overflowPunct/>
        <w:topLinePunct w:val="0"/>
        <w:autoSpaceDE/>
        <w:autoSpaceDN/>
        <w:bidi w:val="0"/>
        <w:adjustRightInd/>
        <w:snapToGrid/>
        <w:spacing w:line="400" w:lineRule="exact"/>
        <w:ind w:firstLine="513" w:firstLineChars="214"/>
        <w:textAlignment w:val="auto"/>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1DE4A5D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-772160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10D6E26F">
      <w:pPr>
        <w:pStyle w:val="4"/>
        <w:keepNext w:val="0"/>
        <w:keepLines w:val="0"/>
        <w:pageBreakBefore w:val="0"/>
        <w:widowControl w:val="0"/>
        <w:kinsoku/>
        <w:overflowPunct/>
        <w:topLinePunct w:val="0"/>
        <w:autoSpaceDE/>
        <w:autoSpaceDN/>
        <w:bidi w:val="0"/>
        <w:adjustRightInd/>
        <w:snapToGrid/>
        <w:spacing w:line="400" w:lineRule="exact"/>
        <w:ind w:firstLine="472" w:firstLineChars="196"/>
        <w:textAlignment w:val="auto"/>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06115F3D">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5A867D52">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4320" w:firstLineChars="1800"/>
        <w:rPr>
          <w:rFonts w:hint="eastAsia" w:ascii="宋体" w:hAnsi="宋体" w:cs="宋体"/>
          <w:sz w:val="24"/>
          <w:szCs w:val="24"/>
        </w:rPr>
      </w:pPr>
    </w:p>
    <w:p w14:paraId="1674BCF9">
      <w:pPr>
        <w:spacing w:line="380" w:lineRule="exact"/>
        <w:ind w:right="480" w:firstLine="4320" w:firstLineChars="1800"/>
        <w:rPr>
          <w:rFonts w:hint="eastAsia" w:ascii="宋体" w:hAnsi="宋体" w:cs="宋体"/>
          <w:sz w:val="24"/>
          <w:szCs w:val="24"/>
        </w:rPr>
      </w:pP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6570A996">
      <w:pPr>
        <w:spacing w:line="380" w:lineRule="exact"/>
        <w:ind w:right="480" w:firstLine="4320" w:firstLineChars="1800"/>
        <w:rPr>
          <w:rFonts w:hint="eastAsia" w:ascii="宋体" w:hAnsi="宋体" w:cs="宋体"/>
          <w:sz w:val="24"/>
          <w:szCs w:val="24"/>
        </w:rPr>
      </w:pPr>
    </w:p>
    <w:p w14:paraId="55ADA127">
      <w:pPr>
        <w:spacing w:line="380" w:lineRule="exact"/>
        <w:ind w:right="480" w:firstLine="4320" w:firstLineChars="1800"/>
        <w:rPr>
          <w:rFonts w:hint="eastAsia" w:ascii="宋体" w:hAnsi="宋体" w:cs="宋体"/>
          <w:sz w:val="24"/>
          <w:szCs w:val="24"/>
        </w:rPr>
      </w:pPr>
    </w:p>
    <w:p w14:paraId="7B292491">
      <w:pPr>
        <w:spacing w:line="380" w:lineRule="exact"/>
        <w:ind w:right="480" w:firstLine="4320" w:firstLineChars="1800"/>
        <w:rPr>
          <w:rFonts w:hint="eastAsia" w:ascii="宋体" w:hAnsi="宋体" w:cs="宋体"/>
          <w:sz w:val="24"/>
          <w:szCs w:val="24"/>
        </w:rPr>
      </w:pPr>
    </w:p>
    <w:p w14:paraId="27A3F40F">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6617A391">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3A626AA4">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1421A5F8">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5677F767">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3577CFC7">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7EA838C2">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2B8997FE">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4EA11205">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515CA4D">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635EA30E">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262DAA36">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0724065A">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201A36A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79B74BB3">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382CD249">
      <w:pPr>
        <w:spacing w:line="380" w:lineRule="exact"/>
        <w:rPr>
          <w:rFonts w:hint="eastAsia" w:ascii="宋体" w:hAnsi="宋体" w:cs="宋体"/>
          <w:sz w:val="21"/>
          <w:szCs w:val="21"/>
        </w:rPr>
      </w:pPr>
    </w:p>
    <w:p w14:paraId="6D90AE09">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3F0E7A3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421C299B">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0D8960DD">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3AB3402">
      <w:pPr>
        <w:pStyle w:val="18"/>
        <w:spacing w:line="380" w:lineRule="exact"/>
        <w:ind w:firstLine="3885" w:firstLineChars="1850"/>
        <w:rPr>
          <w:rFonts w:hint="eastAsia" w:ascii="华文仿宋" w:hAnsi="华文仿宋" w:eastAsia="华文仿宋" w:cs="华文仿宋"/>
          <w:sz w:val="21"/>
          <w:szCs w:val="21"/>
        </w:rPr>
      </w:pPr>
    </w:p>
    <w:p w14:paraId="593DD76B">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69504"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1"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wps:txbx>
                      <wps:bodyPr vert="horz" wrap="square" anchor="t" anchorCtr="0" upright="1"/>
                    </wps:wsp>
                  </a:graphicData>
                </a:graphic>
              </wp:anchor>
            </w:drawing>
          </mc:Choice>
          <mc:Fallback>
            <w:pict>
              <v:shape id="_x0000_s1026" o:spid="_x0000_s1026" o:spt="202" type="#_x0000_t202" style="position:absolute;left:0pt;margin-left:11.15pt;margin-top:19.75pt;height:94.5pt;width:478.5pt;z-index:251669504;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Am8FvLZAIAAAEFAAAOAAAAZHJzL2Uyb0RvYy54bWytVM2O0zAQ&#10;viPxDpbvNO0iClRNV2JLuSBALIiz6ziJJf9hu23KA8AbcNoLd56rz8FnJy1lkVAP5JBMZsbfzHwz&#10;4/l1pxXZCh+kNSWdjMaUCMNtJU1T0o8fVo+eURIiMxVT1oiS7kWg14uHD+Y7NxNXtrWqEp4AxITZ&#10;zpW0jdHNiiLwVmgWRtYJA2NtvWYRv74pKs92QNequBqPp8XO+sp5y0UI0C57Ix0Q/SWAtq4lF0vL&#10;N1qY2KN6oVhESaGVLtBFzrauBY9v6zqISFRJUWnMbwSBvE7vYjFns8Yz10o+pMAuSeFeTZpJg6An&#10;qCWLjGy8/AtKS+5tsHUccauLvpDMCKqYjO9xc9syJ3ItoDq4E+nh/8HyN9t3nsiqpFcTSgzT6Pjh&#10;+7fD3c/Dj68EOhC0c2EGv1sHz9i9sB3G5qgPUKa6u9rr9EVFBHbQuz/RK7pIOJTT8dPp8ycwcdgm&#10;mIUJfoBf/D7ufIivhNUkCSX16F+mlW1fh9i7Hl0GtquVVIp4Gz/J2GbCUtxsDDjTC8RZcNarg2/W&#10;N8qTLcNIrPIzJNGEc+/JOD0Z6d9HkH5zDKWkISwt0jBZUSrxHkX0qWPOcropjDJkB0oeZz4Y9qjG&#10;/IIa7dCLYJo+sFXydOKPLHJyR/bCuVviZ8lC2xeYTak+NtMyCp+lVrDqpalI3Du022DNaUpGi4oS&#10;JXArJCl7RibVJZ7gQJkUROSdG5qVBqcfkCTFbt0BNIlrW+0xTLiF0OTW+i+Ijx1E4Z83zCMbZjjU&#10;JQUjvXgT+6XdOC+bFqfyBBYJDJuRZ2jY4rR65/+Qz2+ux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IWwtB1AAAAAkBAAAPAAAAAAAAAAEAIAAAACIAAABkcnMvZG93bnJldi54bWxQSwECFAAUAAAA&#10;CACHTuJAJvBby2QCAAABBQAADgAAAAAAAAABACAAAAAjAQAAZHJzL2Uyb0RvYy54bWxQSwUGAAAA&#10;AAYABgBZAQAA+QUAAAAA&#10;">
                <v:fill type="gradient" on="t" color2="#FFFFFF" angle="90" focus="100%" focussize="0,0">
                  <o:fill type="gradientUnscaled" v:ext="backwardCompatible"/>
                </v:fill>
                <v:stroke weight="0.5pt" color="#000000" joinstyle="miter"/>
                <v:imagedata o:title=""/>
                <o:lock v:ext="edit" aspectratio="f"/>
                <v:textbo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v:textbox>
              </v:shape>
            </w:pict>
          </mc:Fallback>
        </mc:AlternateContent>
      </w:r>
    </w:p>
    <w:p w14:paraId="0E3C7DA2"/>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0F45CF"/>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0FEF5BB0"/>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DB3C50"/>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586922"/>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8567F4"/>
    <w:rsid w:val="29A24CB1"/>
    <w:rsid w:val="29A749BD"/>
    <w:rsid w:val="29B07D72"/>
    <w:rsid w:val="29CD6100"/>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2E569E6"/>
    <w:rsid w:val="3310712F"/>
    <w:rsid w:val="331E7449"/>
    <w:rsid w:val="33233306"/>
    <w:rsid w:val="332B21BB"/>
    <w:rsid w:val="33501C21"/>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71F5B92"/>
    <w:rsid w:val="3720190B"/>
    <w:rsid w:val="373A4824"/>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872E3"/>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25A1E"/>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4F77D9"/>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11B6B1B"/>
    <w:rsid w:val="612400C6"/>
    <w:rsid w:val="61504A17"/>
    <w:rsid w:val="61564EDF"/>
    <w:rsid w:val="615D7134"/>
    <w:rsid w:val="61920923"/>
    <w:rsid w:val="619F2D8C"/>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46FB"/>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D5536D"/>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9D56AE"/>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8E293D"/>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4740</Words>
  <Characters>4961</Characters>
  <Lines>74</Lines>
  <Paragraphs>20</Paragraphs>
  <TotalTime>56</TotalTime>
  <ScaleCrop>false</ScaleCrop>
  <LinksUpToDate>false</LinksUpToDate>
  <CharactersWithSpaces>5318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2026-08-27T01:28:02Z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