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温州市龙湾区永中街道沧湖华庭112号-121号、210号-211号及122号-132号、212号-216号二宗房产五年租赁权竞价文件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2026年9月2日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温州市龙湾区永中街道沧湖华庭112号-121号、210号-211号及122号-132号、212号-216号二宗房产五年租赁权竞价公告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7456"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w:t>
      </w:r>
      <w:r>
        <w:rPr>
          <w:rFonts w:hint="eastAsia" w:ascii="宋体" w:hAnsi="宋体"/>
          <w:color w:val="auto"/>
          <w:sz w:val="24"/>
          <w:szCs w:val="24"/>
          <w:highlight w:val="none"/>
          <w:u w:val="none"/>
          <w:lang w:val="en-US" w:eastAsia="zh-CN"/>
        </w:rPr>
        <w:t>9</w:t>
      </w:r>
      <w:r>
        <w:rPr>
          <w:rFonts w:hint="eastAsia" w:ascii="宋体" w:hAnsi="宋体"/>
          <w:color w:val="auto"/>
          <w:sz w:val="24"/>
          <w:szCs w:val="24"/>
          <w:highlight w:val="none"/>
          <w:u w:val="none"/>
          <w:lang w:eastAsia="zh-CN"/>
        </w:rPr>
        <w:t>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2026年9月10日上午10时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温州市龙湾区永中街道沧湖华庭112号-121号、210号-211号及122号-132号、212号-216号二宗房产五年租赁权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5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111"/>
        <w:gridCol w:w="1717"/>
        <w:gridCol w:w="1833"/>
        <w:gridCol w:w="1324"/>
        <w:gridCol w:w="1217"/>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3550" w:type="dxa"/>
            <w:gridSpan w:val="2"/>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217"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restart"/>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111" w:type="dxa"/>
            <w:vMerge w:val="restart"/>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温州市龙湾区永中街道沧湖华庭112号-121号、210号-211号五年租赁权</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bCs/>
                <w:kern w:val="2"/>
                <w:sz w:val="24"/>
                <w:szCs w:val="24"/>
                <w:highlight w:val="none"/>
                <w:u w:val="none"/>
                <w:lang w:val="en-US" w:eastAsia="zh-CN" w:bidi="ar-SA"/>
              </w:rPr>
              <w:t>112号-121号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5FEA0F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约555.105㎡</w:t>
            </w:r>
          </w:p>
        </w:tc>
        <w:tc>
          <w:tcPr>
            <w:tcW w:w="1324" w:type="dxa"/>
            <w:vMerge w:val="restart"/>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453355元</w:t>
            </w:r>
          </w:p>
        </w:tc>
        <w:tc>
          <w:tcPr>
            <w:tcW w:w="1217" w:type="dxa"/>
            <w:vMerge w:val="restart"/>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45万元       </w:t>
            </w:r>
          </w:p>
        </w:tc>
      </w:tr>
      <w:tr w14:paraId="1089F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2767BA9B">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0AFDBC5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0E46162A">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210号-211号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4EE2E0DC">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约623.996㎡</w:t>
            </w:r>
          </w:p>
        </w:tc>
        <w:tc>
          <w:tcPr>
            <w:tcW w:w="1324" w:type="dxa"/>
            <w:vMerge w:val="continue"/>
            <w:tcBorders>
              <w:left w:val="single" w:color="000000" w:sz="4" w:space="0"/>
              <w:right w:val="single" w:color="000000" w:sz="4" w:space="0"/>
            </w:tcBorders>
            <w:noWrap w:val="0"/>
            <w:vAlign w:val="center"/>
          </w:tcPr>
          <w:p w14:paraId="14617C8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1A902724">
            <w:pPr>
              <w:keepNext w:val="0"/>
              <w:keepLines w:val="0"/>
              <w:widowControl/>
              <w:suppressLineNumbers w:val="0"/>
              <w:spacing w:before="0" w:beforeAutospacing="0" w:after="0" w:afterAutospacing="0"/>
              <w:ind w:left="0" w:right="0"/>
              <w:jc w:val="center"/>
              <w:textAlignment w:val="center"/>
              <w:rPr>
                <w:rFonts w:hint="default"/>
                <w:szCs w:val="20"/>
              </w:rPr>
            </w:pPr>
          </w:p>
        </w:tc>
      </w:tr>
      <w:tr w14:paraId="66B43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109F9726">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7F3830E1">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1BA5885A">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合计</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25BE24E1">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约1179.101㎡</w:t>
            </w:r>
          </w:p>
        </w:tc>
        <w:tc>
          <w:tcPr>
            <w:tcW w:w="1324" w:type="dxa"/>
            <w:vMerge w:val="continue"/>
            <w:tcBorders>
              <w:left w:val="single" w:color="000000" w:sz="4" w:space="0"/>
              <w:right w:val="single" w:color="000000" w:sz="4" w:space="0"/>
            </w:tcBorders>
            <w:noWrap w:val="0"/>
            <w:vAlign w:val="center"/>
          </w:tcPr>
          <w:p w14:paraId="5E481DAD">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27A32645">
            <w:pPr>
              <w:keepNext w:val="0"/>
              <w:keepLines w:val="0"/>
              <w:widowControl/>
              <w:suppressLineNumbers w:val="0"/>
              <w:spacing w:before="0" w:beforeAutospacing="0" w:after="0" w:afterAutospacing="0"/>
              <w:ind w:left="0" w:right="0"/>
              <w:jc w:val="center"/>
              <w:textAlignment w:val="center"/>
              <w:rPr>
                <w:rFonts w:hint="default"/>
                <w:szCs w:val="20"/>
              </w:rPr>
            </w:pPr>
          </w:p>
        </w:tc>
      </w:tr>
      <w:tr w14:paraId="199DE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restart"/>
            <w:tcBorders>
              <w:top w:val="single" w:color="000000" w:sz="4" w:space="0"/>
              <w:left w:val="single" w:color="auto" w:sz="4" w:space="0"/>
              <w:right w:val="single" w:color="000000" w:sz="4" w:space="0"/>
            </w:tcBorders>
            <w:noWrap w:val="0"/>
            <w:vAlign w:val="center"/>
          </w:tcPr>
          <w:p w14:paraId="6F034B7B">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111" w:type="dxa"/>
            <w:vMerge w:val="restart"/>
            <w:tcBorders>
              <w:top w:val="single" w:color="000000" w:sz="4" w:space="0"/>
              <w:left w:val="single" w:color="000000" w:sz="4" w:space="0"/>
              <w:right w:val="single" w:color="000000" w:sz="4" w:space="0"/>
            </w:tcBorders>
            <w:noWrap w:val="0"/>
            <w:vAlign w:val="center"/>
          </w:tcPr>
          <w:p w14:paraId="09427BB3">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温州市龙湾区永中街道沧湖华庭122号-132号、212号-216号五年租赁权</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26294D47">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122号-132号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47D00F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约622.03㎡</w:t>
            </w:r>
          </w:p>
        </w:tc>
        <w:tc>
          <w:tcPr>
            <w:tcW w:w="1324" w:type="dxa"/>
            <w:vMerge w:val="restart"/>
            <w:tcBorders>
              <w:top w:val="single" w:color="000000" w:sz="4" w:space="0"/>
              <w:left w:val="single" w:color="000000" w:sz="4" w:space="0"/>
              <w:right w:val="single" w:color="000000" w:sz="4" w:space="0"/>
            </w:tcBorders>
            <w:noWrap w:val="0"/>
            <w:vAlign w:val="center"/>
          </w:tcPr>
          <w:p w14:paraId="30C3B6F5">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548006元</w:t>
            </w:r>
          </w:p>
        </w:tc>
        <w:tc>
          <w:tcPr>
            <w:tcW w:w="1217" w:type="dxa"/>
            <w:vMerge w:val="restart"/>
            <w:tcBorders>
              <w:top w:val="single" w:color="000000" w:sz="4" w:space="0"/>
              <w:left w:val="nil"/>
              <w:right w:val="single" w:color="auto" w:sz="4" w:space="0"/>
            </w:tcBorders>
            <w:noWrap w:val="0"/>
            <w:vAlign w:val="center"/>
          </w:tcPr>
          <w:p w14:paraId="10D94372">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54万元</w:t>
            </w:r>
          </w:p>
        </w:tc>
      </w:tr>
      <w:tr w14:paraId="71961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7CF8202D">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31925038">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0622A785">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212号-216号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23EBE62C">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约871.14㎡</w:t>
            </w:r>
          </w:p>
        </w:tc>
        <w:tc>
          <w:tcPr>
            <w:tcW w:w="1324" w:type="dxa"/>
            <w:vMerge w:val="continue"/>
            <w:tcBorders>
              <w:left w:val="single" w:color="000000" w:sz="4" w:space="0"/>
              <w:right w:val="single" w:color="000000" w:sz="4" w:space="0"/>
            </w:tcBorders>
            <w:noWrap w:val="0"/>
            <w:vAlign w:val="center"/>
          </w:tcPr>
          <w:p w14:paraId="26844117">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4209B769">
            <w:pPr>
              <w:keepNext w:val="0"/>
              <w:keepLines w:val="0"/>
              <w:widowControl/>
              <w:suppressLineNumbers w:val="0"/>
              <w:spacing w:before="0" w:beforeAutospacing="0" w:after="0" w:afterAutospacing="0"/>
              <w:ind w:left="0" w:right="0"/>
              <w:jc w:val="center"/>
              <w:textAlignment w:val="center"/>
              <w:rPr>
                <w:rFonts w:hint="default"/>
                <w:szCs w:val="20"/>
              </w:rPr>
            </w:pPr>
          </w:p>
        </w:tc>
      </w:tr>
      <w:tr w14:paraId="59C70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4ABDCA5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3B664D81">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55446657">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合计</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75F18FFB">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约1493.17㎡</w:t>
            </w:r>
          </w:p>
        </w:tc>
        <w:tc>
          <w:tcPr>
            <w:tcW w:w="1324" w:type="dxa"/>
            <w:vMerge w:val="continue"/>
            <w:tcBorders>
              <w:left w:val="single" w:color="000000" w:sz="4" w:space="0"/>
              <w:right w:val="single" w:color="000000" w:sz="4" w:space="0"/>
            </w:tcBorders>
            <w:noWrap w:val="0"/>
            <w:vAlign w:val="center"/>
          </w:tcPr>
          <w:p w14:paraId="25C5D9E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3724CB12">
            <w:pPr>
              <w:keepNext w:val="0"/>
              <w:keepLines w:val="0"/>
              <w:widowControl/>
              <w:suppressLineNumbers w:val="0"/>
              <w:spacing w:before="0" w:beforeAutospacing="0" w:after="0" w:afterAutospacing="0"/>
              <w:ind w:left="0" w:right="0"/>
              <w:jc w:val="center"/>
              <w:textAlignment w:val="center"/>
              <w:rPr>
                <w:rFonts w:hint="default"/>
                <w:szCs w:val="20"/>
              </w:rPr>
            </w:pP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4" w:hRule="atLeast"/>
          <w:jc w:val="center"/>
        </w:trPr>
        <w:tc>
          <w:tcPr>
            <w:tcW w:w="10961" w:type="dxa"/>
            <w:gridSpan w:val="6"/>
            <w:tcBorders>
              <w:top w:val="single" w:color="000000" w:sz="4" w:space="0"/>
              <w:left w:val="single" w:color="auto" w:sz="4" w:space="0"/>
              <w:bottom w:val="single" w:color="000000" w:sz="4" w:space="0"/>
              <w:right w:val="single" w:color="auto" w:sz="4" w:space="0"/>
            </w:tcBorders>
            <w:noWrap w:val="0"/>
            <w:vAlign w:val="center"/>
          </w:tcPr>
          <w:p w14:paraId="6FFD8E3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注：1.租期5年，第1-3年租金为竞价成交价，第4-5年租金在第3年租金的基础上逐年递增5%，租金（不含税）一年一付，先付后用。</w:t>
            </w:r>
          </w:p>
          <w:p w14:paraId="680452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各标的有配套7个车位可供竞得人免费使用。</w:t>
            </w:r>
          </w:p>
          <w:p w14:paraId="09C692A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沧湖华庭</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首年租金成交价的</w:t>
      </w:r>
      <w:r>
        <w:rPr>
          <w:rFonts w:hint="eastAsia" w:ascii="宋体" w:hAnsi="宋体"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val="en-US" w:eastAsia="zh-CN"/>
        </w:rPr>
        <w:t>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温州市龙湾区永中街道沧河村股份经济合作社</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2026年9月2日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-2912745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w:t>
      </w:r>
      <w:bookmarkStart w:id="0" w:name="_GoBack"/>
      <w:bookmarkEnd w:id="0"/>
      <w:r>
        <w:rPr>
          <w:rFonts w:hint="eastAsia" w:ascii="宋体" w:hAnsi="宋体"/>
          <w:color w:val="auto"/>
          <w:sz w:val="24"/>
          <w:szCs w:val="24"/>
          <w:highlight w:val="none"/>
          <w:lang w:val="en-US" w:eastAsia="zh-CN"/>
        </w:rPr>
        <w:t>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2026年9月2日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8480;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9504"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9504;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w:t>
      </w:r>
      <w:r>
        <w:rPr>
          <w:rFonts w:hint="eastAsia"/>
          <w:color w:val="auto"/>
          <w:sz w:val="24"/>
          <w:highlight w:val="none"/>
          <w:u w:val="single"/>
          <w:lang w:val="en-US" w:eastAsia="zh-CN"/>
        </w:rPr>
        <w:t>9</w:t>
      </w:r>
      <w:r>
        <w:rPr>
          <w:rFonts w:hint="eastAsia"/>
          <w:color w:val="auto"/>
          <w:sz w:val="24"/>
          <w:highlight w:val="none"/>
          <w:u w:val="single"/>
          <w:lang w:eastAsia="zh-CN"/>
        </w:rPr>
        <w:t>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温州市龙湾区永中街道沧河村股份经济合作社</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5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111"/>
        <w:gridCol w:w="1717"/>
        <w:gridCol w:w="1833"/>
        <w:gridCol w:w="1324"/>
        <w:gridCol w:w="1217"/>
      </w:tblGrid>
      <w:tr w14:paraId="7972E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144589C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14:paraId="6BB17B9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3550" w:type="dxa"/>
            <w:gridSpan w:val="2"/>
            <w:tcBorders>
              <w:top w:val="single" w:color="000000" w:sz="4" w:space="0"/>
              <w:left w:val="single" w:color="000000" w:sz="4" w:space="0"/>
              <w:bottom w:val="single" w:color="000000" w:sz="4" w:space="0"/>
              <w:right w:val="single" w:color="000000" w:sz="4" w:space="0"/>
            </w:tcBorders>
            <w:noWrap w:val="0"/>
            <w:vAlign w:val="center"/>
          </w:tcPr>
          <w:p w14:paraId="543DECD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4" w:type="dxa"/>
            <w:tcBorders>
              <w:top w:val="single" w:color="000000" w:sz="4" w:space="0"/>
              <w:left w:val="single" w:color="000000" w:sz="4" w:space="0"/>
              <w:bottom w:val="single" w:color="000000" w:sz="4" w:space="0"/>
              <w:right w:val="single" w:color="000000" w:sz="4" w:space="0"/>
            </w:tcBorders>
            <w:noWrap w:val="0"/>
            <w:vAlign w:val="center"/>
          </w:tcPr>
          <w:p w14:paraId="1FBA86BE">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12C00B9D">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217" w:type="dxa"/>
            <w:tcBorders>
              <w:top w:val="single" w:color="000000" w:sz="4" w:space="0"/>
              <w:left w:val="nil"/>
              <w:bottom w:val="single" w:color="000000" w:sz="4" w:space="0"/>
              <w:right w:val="single" w:color="auto" w:sz="4" w:space="0"/>
            </w:tcBorders>
            <w:noWrap w:val="0"/>
            <w:vAlign w:val="center"/>
          </w:tcPr>
          <w:p w14:paraId="2ACC6C9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5ABC491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7DE8D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restart"/>
            <w:tcBorders>
              <w:top w:val="single" w:color="000000" w:sz="4" w:space="0"/>
              <w:left w:val="single" w:color="auto" w:sz="4" w:space="0"/>
              <w:right w:val="single" w:color="000000" w:sz="4" w:space="0"/>
            </w:tcBorders>
            <w:noWrap w:val="0"/>
            <w:vAlign w:val="center"/>
          </w:tcPr>
          <w:p w14:paraId="290D624B">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111" w:type="dxa"/>
            <w:vMerge w:val="restart"/>
            <w:tcBorders>
              <w:top w:val="single" w:color="000000" w:sz="4" w:space="0"/>
              <w:left w:val="single" w:color="000000" w:sz="4" w:space="0"/>
              <w:right w:val="single" w:color="000000" w:sz="4" w:space="0"/>
            </w:tcBorders>
            <w:noWrap w:val="0"/>
            <w:vAlign w:val="center"/>
          </w:tcPr>
          <w:p w14:paraId="297CB1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温州市龙湾区永中街道沧湖华庭112号-121号、210号-211号五年租赁权</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770BE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bCs/>
                <w:kern w:val="2"/>
                <w:sz w:val="24"/>
                <w:szCs w:val="24"/>
                <w:highlight w:val="none"/>
                <w:u w:val="none"/>
                <w:lang w:val="en-US" w:eastAsia="zh-CN" w:bidi="ar-SA"/>
              </w:rPr>
              <w:t>112号-121号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4BB88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约555.105㎡</w:t>
            </w:r>
          </w:p>
        </w:tc>
        <w:tc>
          <w:tcPr>
            <w:tcW w:w="1324" w:type="dxa"/>
            <w:vMerge w:val="restart"/>
            <w:tcBorders>
              <w:top w:val="single" w:color="000000" w:sz="4" w:space="0"/>
              <w:left w:val="single" w:color="000000" w:sz="4" w:space="0"/>
              <w:right w:val="single" w:color="000000" w:sz="4" w:space="0"/>
            </w:tcBorders>
            <w:noWrap w:val="0"/>
            <w:vAlign w:val="center"/>
          </w:tcPr>
          <w:p w14:paraId="460602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453355元</w:t>
            </w:r>
          </w:p>
        </w:tc>
        <w:tc>
          <w:tcPr>
            <w:tcW w:w="1217" w:type="dxa"/>
            <w:vMerge w:val="restart"/>
            <w:tcBorders>
              <w:top w:val="single" w:color="000000" w:sz="4" w:space="0"/>
              <w:left w:val="nil"/>
              <w:right w:val="single" w:color="auto" w:sz="4" w:space="0"/>
            </w:tcBorders>
            <w:noWrap w:val="0"/>
            <w:vAlign w:val="center"/>
          </w:tcPr>
          <w:p w14:paraId="11593B0C">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45万元       </w:t>
            </w:r>
          </w:p>
        </w:tc>
      </w:tr>
      <w:tr w14:paraId="054C9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28559362">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1FA4B05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333BC78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210号-211号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2EEDE34F">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约623.996㎡</w:t>
            </w:r>
          </w:p>
        </w:tc>
        <w:tc>
          <w:tcPr>
            <w:tcW w:w="1324" w:type="dxa"/>
            <w:vMerge w:val="continue"/>
            <w:tcBorders>
              <w:left w:val="single" w:color="000000" w:sz="4" w:space="0"/>
              <w:right w:val="single" w:color="000000" w:sz="4" w:space="0"/>
            </w:tcBorders>
            <w:noWrap w:val="0"/>
            <w:vAlign w:val="center"/>
          </w:tcPr>
          <w:p w14:paraId="5A3F6EAB">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1DCD2EA1">
            <w:pPr>
              <w:keepNext w:val="0"/>
              <w:keepLines w:val="0"/>
              <w:widowControl/>
              <w:suppressLineNumbers w:val="0"/>
              <w:spacing w:before="0" w:beforeAutospacing="0" w:after="0" w:afterAutospacing="0"/>
              <w:ind w:left="0" w:right="0"/>
              <w:jc w:val="center"/>
              <w:textAlignment w:val="center"/>
              <w:rPr>
                <w:rFonts w:hint="default"/>
                <w:szCs w:val="20"/>
              </w:rPr>
            </w:pPr>
          </w:p>
        </w:tc>
      </w:tr>
      <w:tr w14:paraId="05469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0921462F">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6A7EACFF">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7A31FAF9">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合计</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2B2EFEA1">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约1179.101㎡</w:t>
            </w:r>
          </w:p>
        </w:tc>
        <w:tc>
          <w:tcPr>
            <w:tcW w:w="1324" w:type="dxa"/>
            <w:vMerge w:val="continue"/>
            <w:tcBorders>
              <w:left w:val="single" w:color="000000" w:sz="4" w:space="0"/>
              <w:right w:val="single" w:color="000000" w:sz="4" w:space="0"/>
            </w:tcBorders>
            <w:noWrap w:val="0"/>
            <w:vAlign w:val="center"/>
          </w:tcPr>
          <w:p w14:paraId="6FD389A7">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612407A2">
            <w:pPr>
              <w:keepNext w:val="0"/>
              <w:keepLines w:val="0"/>
              <w:widowControl/>
              <w:suppressLineNumbers w:val="0"/>
              <w:spacing w:before="0" w:beforeAutospacing="0" w:after="0" w:afterAutospacing="0"/>
              <w:ind w:left="0" w:right="0"/>
              <w:jc w:val="center"/>
              <w:textAlignment w:val="center"/>
              <w:rPr>
                <w:rFonts w:hint="default"/>
                <w:szCs w:val="20"/>
              </w:rPr>
            </w:pPr>
          </w:p>
        </w:tc>
      </w:tr>
      <w:tr w14:paraId="69EF0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restart"/>
            <w:tcBorders>
              <w:top w:val="single" w:color="000000" w:sz="4" w:space="0"/>
              <w:left w:val="single" w:color="auto" w:sz="4" w:space="0"/>
              <w:right w:val="single" w:color="000000" w:sz="4" w:space="0"/>
            </w:tcBorders>
            <w:noWrap w:val="0"/>
            <w:vAlign w:val="center"/>
          </w:tcPr>
          <w:p w14:paraId="6D613E5E">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111" w:type="dxa"/>
            <w:vMerge w:val="restart"/>
            <w:tcBorders>
              <w:top w:val="single" w:color="000000" w:sz="4" w:space="0"/>
              <w:left w:val="single" w:color="000000" w:sz="4" w:space="0"/>
              <w:right w:val="single" w:color="000000" w:sz="4" w:space="0"/>
            </w:tcBorders>
            <w:noWrap w:val="0"/>
            <w:vAlign w:val="center"/>
          </w:tcPr>
          <w:p w14:paraId="0CF9C0A8">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温州市龙湾区永中街道沧湖华庭122号-132号、212号-216号五年租赁权</w:t>
            </w: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15D49158">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122号-132号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344BC8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约622.03㎡</w:t>
            </w:r>
          </w:p>
        </w:tc>
        <w:tc>
          <w:tcPr>
            <w:tcW w:w="1324" w:type="dxa"/>
            <w:vMerge w:val="restart"/>
            <w:tcBorders>
              <w:top w:val="single" w:color="000000" w:sz="4" w:space="0"/>
              <w:left w:val="single" w:color="000000" w:sz="4" w:space="0"/>
              <w:right w:val="single" w:color="000000" w:sz="4" w:space="0"/>
            </w:tcBorders>
            <w:noWrap w:val="0"/>
            <w:vAlign w:val="center"/>
          </w:tcPr>
          <w:p w14:paraId="6323918A">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548006元</w:t>
            </w:r>
          </w:p>
        </w:tc>
        <w:tc>
          <w:tcPr>
            <w:tcW w:w="1217" w:type="dxa"/>
            <w:vMerge w:val="restart"/>
            <w:tcBorders>
              <w:top w:val="single" w:color="000000" w:sz="4" w:space="0"/>
              <w:left w:val="nil"/>
              <w:right w:val="single" w:color="auto" w:sz="4" w:space="0"/>
            </w:tcBorders>
            <w:noWrap w:val="0"/>
            <w:vAlign w:val="center"/>
          </w:tcPr>
          <w:p w14:paraId="06B503E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54万元</w:t>
            </w:r>
          </w:p>
        </w:tc>
      </w:tr>
      <w:tr w14:paraId="239CD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54B548C7">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4764F057">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6D0D9495">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212号-216号</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3D9E36F7">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约871.14㎡</w:t>
            </w:r>
          </w:p>
        </w:tc>
        <w:tc>
          <w:tcPr>
            <w:tcW w:w="1324" w:type="dxa"/>
            <w:vMerge w:val="continue"/>
            <w:tcBorders>
              <w:left w:val="single" w:color="000000" w:sz="4" w:space="0"/>
              <w:right w:val="single" w:color="000000" w:sz="4" w:space="0"/>
            </w:tcBorders>
            <w:noWrap w:val="0"/>
            <w:vAlign w:val="center"/>
          </w:tcPr>
          <w:p w14:paraId="79757557">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078030FF">
            <w:pPr>
              <w:keepNext w:val="0"/>
              <w:keepLines w:val="0"/>
              <w:widowControl/>
              <w:suppressLineNumbers w:val="0"/>
              <w:spacing w:before="0" w:beforeAutospacing="0" w:after="0" w:afterAutospacing="0"/>
              <w:ind w:left="0" w:right="0"/>
              <w:jc w:val="center"/>
              <w:textAlignment w:val="center"/>
              <w:rPr>
                <w:rFonts w:hint="default"/>
                <w:szCs w:val="20"/>
              </w:rPr>
            </w:pPr>
          </w:p>
        </w:tc>
      </w:tr>
      <w:tr w14:paraId="27CD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59" w:type="dxa"/>
            <w:vMerge w:val="continue"/>
            <w:tcBorders>
              <w:left w:val="single" w:color="auto" w:sz="4" w:space="0"/>
              <w:right w:val="single" w:color="000000" w:sz="4" w:space="0"/>
            </w:tcBorders>
            <w:noWrap w:val="0"/>
            <w:vAlign w:val="center"/>
          </w:tcPr>
          <w:p w14:paraId="479968E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4111" w:type="dxa"/>
            <w:vMerge w:val="continue"/>
            <w:tcBorders>
              <w:left w:val="single" w:color="000000" w:sz="4" w:space="0"/>
              <w:right w:val="single" w:color="000000" w:sz="4" w:space="0"/>
            </w:tcBorders>
            <w:noWrap w:val="0"/>
            <w:vAlign w:val="center"/>
          </w:tcPr>
          <w:p w14:paraId="7071B7BA">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717" w:type="dxa"/>
            <w:tcBorders>
              <w:top w:val="single" w:color="000000" w:sz="4" w:space="0"/>
              <w:left w:val="single" w:color="000000" w:sz="4" w:space="0"/>
              <w:bottom w:val="single" w:color="000000" w:sz="4" w:space="0"/>
              <w:right w:val="single" w:color="000000" w:sz="4" w:space="0"/>
            </w:tcBorders>
            <w:noWrap w:val="0"/>
            <w:vAlign w:val="center"/>
          </w:tcPr>
          <w:p w14:paraId="0D639101">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合计</w:t>
            </w:r>
          </w:p>
        </w:tc>
        <w:tc>
          <w:tcPr>
            <w:tcW w:w="1833" w:type="dxa"/>
            <w:tcBorders>
              <w:top w:val="single" w:color="000000" w:sz="4" w:space="0"/>
              <w:left w:val="single" w:color="000000" w:sz="4" w:space="0"/>
              <w:bottom w:val="single" w:color="000000" w:sz="4" w:space="0"/>
              <w:right w:val="single" w:color="000000" w:sz="4" w:space="0"/>
            </w:tcBorders>
            <w:noWrap w:val="0"/>
            <w:vAlign w:val="center"/>
          </w:tcPr>
          <w:p w14:paraId="2B507651">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bCs/>
                <w:kern w:val="2"/>
                <w:sz w:val="24"/>
                <w:szCs w:val="24"/>
                <w:highlight w:val="none"/>
                <w:u w:val="none"/>
                <w:lang w:val="en-US" w:eastAsia="zh-CN" w:bidi="ar-SA"/>
              </w:rPr>
              <w:t>约1493.17㎡</w:t>
            </w:r>
          </w:p>
        </w:tc>
        <w:tc>
          <w:tcPr>
            <w:tcW w:w="1324" w:type="dxa"/>
            <w:vMerge w:val="continue"/>
            <w:tcBorders>
              <w:left w:val="single" w:color="000000" w:sz="4" w:space="0"/>
              <w:right w:val="single" w:color="000000" w:sz="4" w:space="0"/>
            </w:tcBorders>
            <w:noWrap w:val="0"/>
            <w:vAlign w:val="center"/>
          </w:tcPr>
          <w:p w14:paraId="5E77FF9E">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217" w:type="dxa"/>
            <w:vMerge w:val="continue"/>
            <w:tcBorders>
              <w:left w:val="nil"/>
              <w:right w:val="single" w:color="auto" w:sz="4" w:space="0"/>
            </w:tcBorders>
            <w:noWrap w:val="0"/>
            <w:vAlign w:val="center"/>
          </w:tcPr>
          <w:p w14:paraId="45E19C40">
            <w:pPr>
              <w:keepNext w:val="0"/>
              <w:keepLines w:val="0"/>
              <w:widowControl/>
              <w:suppressLineNumbers w:val="0"/>
              <w:spacing w:before="0" w:beforeAutospacing="0" w:after="0" w:afterAutospacing="0"/>
              <w:ind w:left="0" w:right="0"/>
              <w:jc w:val="center"/>
              <w:textAlignment w:val="center"/>
              <w:rPr>
                <w:rFonts w:hint="default"/>
                <w:szCs w:val="20"/>
              </w:rPr>
            </w:pPr>
          </w:p>
        </w:tc>
      </w:tr>
      <w:tr w14:paraId="50118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4" w:hRule="atLeast"/>
          <w:jc w:val="center"/>
        </w:trPr>
        <w:tc>
          <w:tcPr>
            <w:tcW w:w="10961" w:type="dxa"/>
            <w:gridSpan w:val="6"/>
            <w:tcBorders>
              <w:top w:val="single" w:color="000000" w:sz="4" w:space="0"/>
              <w:left w:val="single" w:color="auto" w:sz="4" w:space="0"/>
              <w:bottom w:val="single" w:color="000000" w:sz="4" w:space="0"/>
              <w:right w:val="single" w:color="auto" w:sz="4" w:space="0"/>
            </w:tcBorders>
            <w:noWrap w:val="0"/>
            <w:vAlign w:val="center"/>
          </w:tcPr>
          <w:p w14:paraId="1B85904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注：1.租期5年，第1-3年租金为竞价成交价，第4-5年租金在第3年租金的基础上逐年递增5%，租金（不含税）一年一付，先付后用。</w:t>
            </w:r>
          </w:p>
          <w:p w14:paraId="7E397A8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各标的有配套7个车位可供竞得人免费使用。</w:t>
            </w:r>
          </w:p>
          <w:p w14:paraId="0B4F4BF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-3665220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w:t>
      </w:r>
      <w:r>
        <w:rPr>
          <w:rFonts w:hint="eastAsia" w:ascii="宋体" w:hAnsi="宋体"/>
          <w:sz w:val="24"/>
          <w:szCs w:val="24"/>
          <w:lang w:val="en-US" w:eastAsia="zh-CN"/>
        </w:rPr>
        <w:t>物业、</w:t>
      </w:r>
      <w:r>
        <w:rPr>
          <w:rFonts w:hint="eastAsia" w:ascii="宋体" w:hAnsi="宋体"/>
          <w:sz w:val="24"/>
          <w:szCs w:val="24"/>
        </w:rPr>
        <w:t>通讯和相关部门管理费用等一切经营费用以及租赁使用期间的日常维修、维护、保养费用等一切税</w:t>
      </w:r>
      <w:r>
        <w:rPr>
          <w:rFonts w:hint="eastAsia" w:ascii="宋体" w:hAnsi="宋体"/>
          <w:sz w:val="24"/>
          <w:szCs w:val="24"/>
          <w:lang w:eastAsia="zh-CN"/>
        </w:rPr>
        <w:t>、</w:t>
      </w:r>
      <w:r>
        <w:rPr>
          <w:rFonts w:hint="eastAsia" w:ascii="宋体" w:hAnsi="宋体"/>
          <w:sz w:val="24"/>
          <w:szCs w:val="24"/>
        </w:rPr>
        <w:t>费均由承租人承担并自行结算。</w:t>
      </w:r>
    </w:p>
    <w:p w14:paraId="3FB809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591185</wp:posOffset>
            </wp:positionH>
            <wp:positionV relativeFrom="paragraph">
              <wp:posOffset>-3231515</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0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400" w:lineRule="exact"/>
        <w:ind w:firstLine="883" w:firstLineChars="200"/>
        <w:textAlignment w:val="auto"/>
        <w:rPr>
          <w:rFonts w:hint="default" w:ascii="宋体" w:hAnsi="宋体"/>
          <w:color w:val="auto"/>
          <w:sz w:val="24"/>
          <w:szCs w:val="24"/>
          <w:highlight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591185</wp:posOffset>
            </wp:positionH>
            <wp:positionV relativeFrom="paragraph">
              <wp:posOffset>106680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2026年9月2日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277495</wp:posOffset>
                </wp:positionH>
                <wp:positionV relativeFrom="paragraph">
                  <wp:posOffset>76835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1.85pt;margin-top:6.05pt;height:78.3pt;width:461.4pt;z-index:251670528;mso-width-relative:page;mso-height-relative:page;" fillcolor="#FFFFFF" filled="t" stroked="t" coordsize="21600,21600" o:gfxdata="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MjNi9gAAAAJAQAADwAAAAAAAAABACAAAAAiAAAAZHJzL2Rvd25yZXYueG1s&#10;UEsBAhQAFAAAAAgAh07iQPorjcgxAgAAeAQAAA4AAAAAAAAAAQAgAAAAJwEAAGRycy9lMm9Eb2Mu&#10;eG1sUEsFBgAAAAAGAAYAWQEAAMoFA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w:t>
      </w:r>
      <w:r>
        <w:rPr>
          <w:rFonts w:hint="eastAsia" w:ascii="宋体" w:hAnsi="宋体"/>
          <w:color w:val="auto"/>
          <w:spacing w:val="-2"/>
          <w:sz w:val="24"/>
          <w:highlight w:val="none"/>
          <w:lang w:val="en-US" w:eastAsia="zh-CN"/>
        </w:rPr>
        <w:t>9</w:t>
      </w:r>
      <w:r>
        <w:rPr>
          <w:rFonts w:hint="eastAsia" w:ascii="宋体" w:hAnsi="宋体"/>
          <w:color w:val="auto"/>
          <w:spacing w:val="-2"/>
          <w:sz w:val="24"/>
          <w:highlight w:val="none"/>
          <w:lang w:eastAsia="zh-CN"/>
        </w:rPr>
        <w:t>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租期5年，第1-3年租金为竞价成交价，第4-5年租金在第3年租金的基础上逐年递增5%，租金（不含税）一年一付，先付后用。</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具体租赁事项以竞得人与温州市龙湾区永中街道沧河村股份经济合作社</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温州市龙湾区永中街道沧河村股份经济合作社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2530D564">
      <w:pPr>
        <w:pStyle w:val="3"/>
        <w:spacing w:line="380" w:lineRule="exact"/>
        <w:ind w:left="0" w:leftChars="0" w:firstLine="480" w:firstLineChars="200"/>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二</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83A8B7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6EA0DF3">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C04383F">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BD065B">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租期5年，第1-3年租金为竞价成交价，第4-5年租金在第3年租金的基础上逐年递增5%，租金（不含税）一年一付，先付后用。</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（三）租金含税，甲方收齐首年租金后向乙方开具租金发票，一切租赁期间产生的税、费均由乙方承担并结算</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1552"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1552;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ECAA8">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DAECAA8">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 xml:space="preserve"> 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F78F">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D59F78F">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63884"/>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427A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9E505E"/>
    <w:rsid w:val="1AB175CD"/>
    <w:rsid w:val="1AB80755"/>
    <w:rsid w:val="1ABF727F"/>
    <w:rsid w:val="1AC047DA"/>
    <w:rsid w:val="1AC6751C"/>
    <w:rsid w:val="1AE17EB2"/>
    <w:rsid w:val="1AE836D1"/>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971E9"/>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4F423B"/>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81612"/>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976161"/>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1958BD"/>
    <w:rsid w:val="3E22630A"/>
    <w:rsid w:val="3E4660FB"/>
    <w:rsid w:val="3E467DCB"/>
    <w:rsid w:val="3E483C21"/>
    <w:rsid w:val="3E612F34"/>
    <w:rsid w:val="3E687722"/>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A24034"/>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6474D"/>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32D6A"/>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481FEA"/>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291FD0"/>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35E52"/>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A48B3"/>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894F4F"/>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A7860"/>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7D46F3"/>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031AB5"/>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11861</Words>
  <Characters>12342</Characters>
  <Lines>74</Lines>
  <Paragraphs>20</Paragraphs>
  <TotalTime>2</TotalTime>
  <ScaleCrop>false</ScaleCrop>
  <LinksUpToDate>false</LinksUpToDate>
  <CharactersWithSpaces>13822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2026-09-01T02:14:17Z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DF7C734BDEE94519ADD3033FAB0D3056_13</vt:lpwstr>
  </property>
  <property fmtid="{D5CDD505-2E9C-101B-9397-08002B2CF9AE}" pid="4" name="KSOTemplateDocerSaveRecord">
    <vt:lpwstr>eyJoZGlkIjoiNzYzNDZhZmRmZjM0NWUxNmJiOWFiNDI5YTEzYzUxNmEiLCJ1c2VySWQiOiIxNTk0MDAzNDA5In0=</vt:lpwstr>
  </property>
</Properties>
</file>