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p>
    <w:p w14:paraId="398B9BB8">
      <w:pPr>
        <w:jc w:val="center"/>
        <w:rPr>
          <w:rFonts w:hint="eastAsia" w:ascii="宋体" w:hAnsi="宋体"/>
          <w:b/>
          <w:color w:val="auto"/>
          <w:sz w:val="48"/>
        </w:rPr>
      </w:pPr>
    </w:p>
    <w:p w14:paraId="4E37A6F7">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0DFB4AA">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温州市龙湾区永中街道城北农贸市场二楼西首房产五年</w:t>
      </w: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租赁权竞价文件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6112163A">
      <w:pPr>
        <w:jc w:val="center"/>
        <w:rPr>
          <w:rFonts w:hint="eastAsia" w:ascii="宋体" w:hAnsi="宋体"/>
          <w:b/>
          <w:bCs/>
          <w:color w:val="auto"/>
          <w:sz w:val="44"/>
          <w:szCs w:val="44"/>
          <w:lang w:val="en-US" w:eastAsia="zh-CN"/>
        </w:rPr>
      </w:pPr>
    </w:p>
    <w:p w14:paraId="304EF0E4">
      <w:pPr>
        <w:jc w:val="center"/>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2026年9月4日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30C2DFBF">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温州市龙湾区永中街道城北农贸市场二楼西首房产五年</w:t>
      </w: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租赁权竞价公告</w:t>
      </w:r>
    </w:p>
    <w:p w14:paraId="1BC14FC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7456" behindDoc="1" locked="0" layoutInCell="1" allowOverlap="1">
            <wp:simplePos x="0" y="0"/>
            <wp:positionH relativeFrom="column">
              <wp:posOffset>351155</wp:posOffset>
            </wp:positionH>
            <wp:positionV relativeFrom="paragraph">
              <wp:posOffset>179070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2026年9月14日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2026年9月15日上午10时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温州市龙湾区永中街道城北农贸市场二楼西首房产五年租赁权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490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4600"/>
        <w:gridCol w:w="1605"/>
        <w:gridCol w:w="1515"/>
        <w:gridCol w:w="1285"/>
      </w:tblGrid>
      <w:tr w14:paraId="46A04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600"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5AB81382">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7D654AE0">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285" w:type="dxa"/>
            <w:tcBorders>
              <w:top w:val="single" w:color="000000" w:sz="4" w:space="0"/>
              <w:left w:val="nil"/>
              <w:bottom w:val="single" w:color="000000" w:sz="4" w:space="0"/>
              <w:right w:val="single" w:color="auto" w:sz="4" w:space="0"/>
            </w:tcBorders>
            <w:noWrap w:val="0"/>
            <w:vAlign w:val="center"/>
          </w:tcPr>
          <w:p w14:paraId="0944927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3E8599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000CC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5" w:hRule="atLeast"/>
          <w:jc w:val="center"/>
        </w:trPr>
        <w:tc>
          <w:tcPr>
            <w:tcW w:w="759" w:type="dxa"/>
            <w:tcBorders>
              <w:top w:val="single" w:color="000000" w:sz="4" w:space="0"/>
              <w:left w:val="single" w:color="auto" w:sz="4" w:space="0"/>
              <w:right w:val="single" w:color="000000" w:sz="4" w:space="0"/>
            </w:tcBorders>
            <w:noWrap w:val="0"/>
            <w:vAlign w:val="center"/>
          </w:tcPr>
          <w:p w14:paraId="53A9C360">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4600" w:type="dxa"/>
            <w:tcBorders>
              <w:top w:val="single" w:color="000000" w:sz="4" w:space="0"/>
              <w:left w:val="single" w:color="000000" w:sz="4" w:space="0"/>
              <w:right w:val="single" w:color="000000" w:sz="4" w:space="0"/>
            </w:tcBorders>
            <w:noWrap w:val="0"/>
            <w:vAlign w:val="center"/>
          </w:tcPr>
          <w:p w14:paraId="5C1D9D59">
            <w:pPr>
              <w:spacing w:line="300" w:lineRule="exact"/>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温州市龙湾区永中街道城北农贸市场二楼西首房产五年租赁权     </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6DC3E292">
            <w:pPr>
              <w:spacing w:line="300" w:lineRule="exact"/>
              <w:jc w:val="center"/>
              <w:rPr>
                <w:rFonts w:hint="eastAsia" w:ascii="宋体" w:hAnsi="宋体" w:eastAsia="宋体" w:cs="宋体"/>
                <w:b w:val="0"/>
                <w:bCs w:val="0"/>
                <w:sz w:val="24"/>
                <w:szCs w:val="24"/>
              </w:rPr>
            </w:pPr>
            <w:r>
              <w:rPr>
                <w:rFonts w:hint="eastAsia" w:ascii="宋体" w:hAnsi="宋体" w:eastAsia="宋体" w:cs="宋体"/>
                <w:bCs/>
                <w:kern w:val="2"/>
                <w:sz w:val="24"/>
                <w:szCs w:val="24"/>
                <w:highlight w:val="none"/>
                <w:u w:val="none"/>
                <w:lang w:val="en-US" w:eastAsia="zh-CN" w:bidi="ar-SA"/>
              </w:rPr>
              <w:t xml:space="preserve">约760㎡    </w:t>
            </w:r>
          </w:p>
        </w:tc>
        <w:tc>
          <w:tcPr>
            <w:tcW w:w="1515" w:type="dxa"/>
            <w:tcBorders>
              <w:top w:val="single" w:color="000000" w:sz="4" w:space="0"/>
              <w:left w:val="single" w:color="000000" w:sz="4" w:space="0"/>
              <w:right w:val="single" w:color="000000" w:sz="4" w:space="0"/>
            </w:tcBorders>
            <w:noWrap w:val="0"/>
            <w:vAlign w:val="center"/>
          </w:tcPr>
          <w:p w14:paraId="1C9584FA">
            <w:pPr>
              <w:spacing w:line="300" w:lineRule="exact"/>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63840元      </w:t>
            </w:r>
          </w:p>
        </w:tc>
        <w:tc>
          <w:tcPr>
            <w:tcW w:w="1285" w:type="dxa"/>
            <w:tcBorders>
              <w:top w:val="single" w:color="000000" w:sz="4" w:space="0"/>
              <w:left w:val="nil"/>
              <w:right w:val="single" w:color="auto" w:sz="4" w:space="0"/>
            </w:tcBorders>
            <w:noWrap w:val="0"/>
            <w:vAlign w:val="center"/>
          </w:tcPr>
          <w:p w14:paraId="63692BB7">
            <w:pPr>
              <w:spacing w:line="300" w:lineRule="exact"/>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6万元   </w:t>
            </w:r>
          </w:p>
        </w:tc>
      </w:tr>
      <w:tr w14:paraId="25EC8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70" w:hRule="atLeast"/>
          <w:jc w:val="center"/>
        </w:trPr>
        <w:tc>
          <w:tcPr>
            <w:tcW w:w="9764" w:type="dxa"/>
            <w:gridSpan w:val="5"/>
            <w:tcBorders>
              <w:top w:val="single" w:color="000000" w:sz="4" w:space="0"/>
              <w:left w:val="single" w:color="auto" w:sz="4" w:space="0"/>
              <w:bottom w:val="single" w:color="000000" w:sz="4" w:space="0"/>
              <w:right w:val="single" w:color="auto" w:sz="4" w:space="0"/>
            </w:tcBorders>
            <w:noWrap w:val="0"/>
            <w:vAlign w:val="center"/>
          </w:tcPr>
          <w:p w14:paraId="388410C4">
            <w:pPr>
              <w:numPr>
                <w:numId w:val="0"/>
              </w:numPr>
              <w:spacing w:line="300" w:lineRule="exact"/>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注：1.</w:t>
            </w:r>
            <w:r>
              <w:rPr>
                <w:rFonts w:hint="eastAsia" w:ascii="宋体" w:hAnsi="宋体" w:eastAsia="宋体" w:cs="宋体"/>
                <w:kern w:val="0"/>
                <w:sz w:val="24"/>
                <w:szCs w:val="24"/>
                <w:lang w:val="en-US" w:eastAsia="zh-CN" w:bidi="ar"/>
              </w:rPr>
              <w:t>租期5年，租金（不含税）一年一付，先付后用，第1-3年租金为竞价成交价，第4-5年租金在第3年租金基础上递增5%。</w:t>
            </w:r>
          </w:p>
          <w:p w14:paraId="6D77E8A0">
            <w:pPr>
              <w:numPr>
                <w:ilvl w:val="0"/>
                <w:numId w:val="0"/>
              </w:numPr>
              <w:spacing w:line="300" w:lineRule="exact"/>
              <w:ind w:firstLine="480" w:firstLineChars="200"/>
              <w:jc w:val="both"/>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2.</w:t>
            </w:r>
            <w:r>
              <w:rPr>
                <w:rFonts w:hint="eastAsia" w:ascii="宋体" w:hAnsi="宋体" w:eastAsia="宋体" w:cs="宋体"/>
                <w:kern w:val="0"/>
                <w:sz w:val="24"/>
                <w:szCs w:val="24"/>
                <w:lang w:val="en-US" w:eastAsia="zh-CN" w:bidi="ar"/>
              </w:rPr>
              <w:t>装修期10天，不计租金及租期。</w:t>
            </w:r>
          </w:p>
          <w:p w14:paraId="6804528C">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cs="宋体"/>
                <w:kern w:val="0"/>
                <w:sz w:val="24"/>
                <w:szCs w:val="24"/>
                <w:lang w:val="en-US" w:eastAsia="zh-CN" w:bidi="ar"/>
              </w:rPr>
              <w:t>3.</w:t>
            </w:r>
            <w:r>
              <w:rPr>
                <w:rFonts w:hint="eastAsia" w:ascii="宋体" w:hAnsi="宋体" w:eastAsia="宋体" w:cs="宋体"/>
                <w:kern w:val="0"/>
                <w:sz w:val="24"/>
                <w:szCs w:val="24"/>
                <w:lang w:val="en-US" w:eastAsia="zh-CN" w:bidi="ar"/>
              </w:rPr>
              <w:t>经营业态：政府允许的其他市场（如体育文化、教育培训、电器、家具、仓库等）</w:t>
            </w:r>
            <w:r>
              <w:rPr>
                <w:rFonts w:hint="eastAsia" w:ascii="宋体" w:hAnsi="宋体" w:eastAsia="宋体" w:cs="宋体"/>
                <w:bCs/>
                <w:kern w:val="2"/>
                <w:sz w:val="24"/>
                <w:szCs w:val="24"/>
                <w:highlight w:val="none"/>
                <w:lang w:val="en-US" w:eastAsia="zh-CN" w:bidi="ar"/>
              </w:rPr>
              <w:t>。</w:t>
            </w:r>
          </w:p>
          <w:p w14:paraId="09C692A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bCs/>
                <w:kern w:val="2"/>
                <w:sz w:val="24"/>
                <w:szCs w:val="24"/>
                <w:highlight w:val="none"/>
                <w:lang w:val="en-US" w:eastAsia="zh-CN" w:bidi="ar"/>
              </w:rPr>
            </w:pPr>
            <w:r>
              <w:rPr>
                <w:rFonts w:hint="eastAsia" w:ascii="宋体" w:hAnsi="宋体" w:cs="宋体"/>
                <w:bCs/>
                <w:kern w:val="2"/>
                <w:sz w:val="24"/>
                <w:szCs w:val="24"/>
                <w:lang w:val="en-US" w:eastAsia="zh-CN" w:bidi="ar"/>
              </w:rPr>
              <w:t>4</w:t>
            </w:r>
            <w:r>
              <w:rPr>
                <w:rFonts w:hint="default" w:ascii="宋体" w:hAnsi="宋体" w:eastAsia="宋体" w:cs="宋体"/>
                <w:bCs/>
                <w:kern w:val="2"/>
                <w:sz w:val="24"/>
                <w:szCs w:val="24"/>
                <w:lang w:val="en-US" w:eastAsia="zh-CN" w:bidi="ar"/>
              </w:rPr>
              <w:t>.</w:t>
            </w:r>
            <w:r>
              <w:rPr>
                <w:rFonts w:hint="eastAsia" w:ascii="宋体" w:hAnsi="宋体" w:cs="宋体"/>
                <w:kern w:val="0"/>
                <w:sz w:val="24"/>
                <w:szCs w:val="24"/>
                <w:lang w:val="en-US" w:eastAsia="zh-CN" w:bidi="ar"/>
              </w:rPr>
              <w:t>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5C728D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74B7A7C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8"/>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城北村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5F36BC3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w:t>
      </w:r>
      <w:r>
        <w:rPr>
          <w:rFonts w:hint="eastAsia" w:ascii="宋体" w:hAnsi="宋体" w:eastAsia="宋体" w:cs="Times New Roman"/>
          <w:color w:val="auto"/>
          <w:sz w:val="24"/>
          <w:szCs w:val="24"/>
          <w:highlight w:val="none"/>
          <w:u w:val="none"/>
          <w:lang w:val="en-US" w:eastAsia="zh-CN"/>
        </w:rPr>
        <w:t>首年租金成交价的</w:t>
      </w:r>
      <w:r>
        <w:rPr>
          <w:rFonts w:hint="eastAsia" w:ascii="宋体" w:hAnsi="宋体" w:cs="Times New Roman"/>
          <w:color w:val="auto"/>
          <w:sz w:val="24"/>
          <w:szCs w:val="24"/>
          <w:highlight w:val="none"/>
          <w:u w:val="none"/>
          <w:lang w:val="en-US" w:eastAsia="zh-CN"/>
        </w:rPr>
        <w:t>1</w:t>
      </w:r>
      <w:r>
        <w:rPr>
          <w:rFonts w:hint="eastAsia" w:ascii="宋体" w:hAnsi="宋体" w:eastAsia="宋体" w:cs="Times New Roman"/>
          <w:color w:val="auto"/>
          <w:sz w:val="24"/>
          <w:szCs w:val="24"/>
          <w:highlight w:val="none"/>
          <w:u w:val="none"/>
          <w:lang w:val="en-US" w:eastAsia="zh-CN"/>
        </w:rPr>
        <w:t>0%（取整数）。</w:t>
      </w:r>
    </w:p>
    <w:p w14:paraId="2103A2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9</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11</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334CA40">
      <w:pPr>
        <w:pStyle w:val="8"/>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459A79AF">
      <w:pPr>
        <w:pStyle w:val="8"/>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E03D501">
      <w:pPr>
        <w:pStyle w:val="8"/>
        <w:ind w:left="0" w:leftChars="0" w:firstLine="480" w:firstLineChars="200"/>
        <w:rPr>
          <w:rFonts w:hint="eastAsia" w:ascii="宋体" w:hAnsi="宋体" w:eastAsia="宋体" w:cs="Times New Roman"/>
          <w:color w:val="auto"/>
          <w:sz w:val="24"/>
          <w:szCs w:val="24"/>
          <w:highlight w:val="none"/>
          <w:lang w:eastAsia="zh-CN"/>
        </w:rPr>
      </w:pPr>
    </w:p>
    <w:p w14:paraId="3AC2F49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温州市龙湾区永中街道城北村集体经济组织</w:t>
      </w:r>
    </w:p>
    <w:p w14:paraId="076DA80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6515D48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2026年9月4日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3CE4336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7B3DC0E">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-2912745</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78A2288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二、本次竞价会采用“上不封顶，下保底价”的增价竞价方式，页面将显示起始价，竞价人根据操作提示应价，每档加价幅度以操作页</w:t>
      </w: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236855</wp:posOffset>
            </wp:positionH>
            <wp:positionV relativeFrom="paragraph">
              <wp:posOffset>-1683385</wp:posOffset>
            </wp:positionV>
            <wp:extent cx="5271770" cy="5833110"/>
            <wp:effectExtent l="0" t="0" r="5080" b="15240"/>
            <wp:wrapNone/>
            <wp:docPr id="25" name="图片 113"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3"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val="en-US" w:eastAsia="zh-CN"/>
        </w:rPr>
        <w:t>面规定为准。成交方式：无人再次加价且竞价时间倒计时结束，则应价最高者成交。在竞价中，竞价人一经应价，不得撤回，当其他竞价人有更高应价时，其应价即丧失约束力。</w:t>
      </w:r>
    </w:p>
    <w:p w14:paraId="684D1091">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如只征集到一家竞价人，可按首年租金起始价成交。</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4384"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2026年9月4日</w:t>
      </w:r>
    </w:p>
    <w:p w14:paraId="36C32941">
      <w:pPr>
        <w:spacing w:line="480" w:lineRule="exact"/>
        <w:textAlignment w:val="baseline"/>
        <w:rPr>
          <w:rFonts w:hint="eastAsia"/>
          <w:color w:val="auto"/>
          <w:sz w:val="28"/>
          <w:szCs w:val="28"/>
        </w:rPr>
      </w:pPr>
    </w:p>
    <w:p w14:paraId="1E8305FE">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8480" behindDoc="0" locked="0" layoutInCell="1" allowOverlap="1">
                <wp:simplePos x="0" y="0"/>
                <wp:positionH relativeFrom="column">
                  <wp:posOffset>133350</wp:posOffset>
                </wp:positionH>
                <wp:positionV relativeFrom="paragraph">
                  <wp:posOffset>120650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10.5pt;margin-top:9.5pt;height:78.3pt;width:461.4pt;z-index:251668480;mso-width-relative:page;mso-height-relative:page;" fillcolor="#FFFFFF" filled="t" stroked="t" coordsize="21600,21600" o:gfxdata="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OY0zG2AAAAAkBAAAPAAAAAAAAAAEAIAAAACIAAABkcnMvZG93bnJldi54bWxQ&#10;SwECFAAUAAAACACHTuJA0uIpXTACAAB4BAAADgAAAAAAAAABACAAAAAnAQAAZHJzL2Uyb0RvYy54&#10;bWxQSwUGAAAAAAYABgBZAQAAyQU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2B9A99CF">
      <w:pPr>
        <w:rPr>
          <w:rFonts w:hint="eastAsia"/>
          <w:b/>
          <w:color w:val="auto"/>
          <w:sz w:val="36"/>
          <w:szCs w:val="36"/>
          <w:highlight w:val="none"/>
        </w:rPr>
      </w:pPr>
      <w:r>
        <w:rPr>
          <w:rFonts w:hint="eastAsia"/>
          <w:b/>
          <w:color w:val="auto"/>
          <w:sz w:val="36"/>
          <w:szCs w:val="36"/>
          <w:highlight w:val="none"/>
        </w:rPr>
        <w:br w:type="page"/>
      </w: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9504"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9504;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2336"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2026年9月14日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温州市龙湾区永中街道城北村集体经济组织</w:t>
      </w:r>
    </w:p>
    <w:p w14:paraId="7CB96055">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90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4600"/>
        <w:gridCol w:w="1605"/>
        <w:gridCol w:w="1515"/>
        <w:gridCol w:w="1285"/>
      </w:tblGrid>
      <w:tr w14:paraId="00B8C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5381CBCF">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600" w:type="dxa"/>
            <w:tcBorders>
              <w:top w:val="single" w:color="000000" w:sz="4" w:space="0"/>
              <w:left w:val="single" w:color="000000" w:sz="4" w:space="0"/>
              <w:bottom w:val="single" w:color="000000" w:sz="4" w:space="0"/>
              <w:right w:val="single" w:color="000000" w:sz="4" w:space="0"/>
            </w:tcBorders>
            <w:noWrap w:val="0"/>
            <w:vAlign w:val="center"/>
          </w:tcPr>
          <w:p w14:paraId="5C7CD75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3745D44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515" w:type="dxa"/>
            <w:tcBorders>
              <w:top w:val="single" w:color="000000" w:sz="4" w:space="0"/>
              <w:left w:val="single" w:color="000000" w:sz="4" w:space="0"/>
              <w:bottom w:val="single" w:color="000000" w:sz="4" w:space="0"/>
              <w:right w:val="single" w:color="000000" w:sz="4" w:space="0"/>
            </w:tcBorders>
            <w:noWrap w:val="0"/>
            <w:vAlign w:val="center"/>
          </w:tcPr>
          <w:p w14:paraId="41BF0217">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32C9ABEB">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285" w:type="dxa"/>
            <w:tcBorders>
              <w:top w:val="single" w:color="000000" w:sz="4" w:space="0"/>
              <w:left w:val="nil"/>
              <w:bottom w:val="single" w:color="000000" w:sz="4" w:space="0"/>
              <w:right w:val="single" w:color="auto" w:sz="4" w:space="0"/>
            </w:tcBorders>
            <w:noWrap w:val="0"/>
            <w:vAlign w:val="center"/>
          </w:tcPr>
          <w:p w14:paraId="55E0921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24803B76">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504CD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5" w:hRule="atLeast"/>
          <w:jc w:val="center"/>
        </w:trPr>
        <w:tc>
          <w:tcPr>
            <w:tcW w:w="759" w:type="dxa"/>
            <w:tcBorders>
              <w:top w:val="single" w:color="000000" w:sz="4" w:space="0"/>
              <w:left w:val="single" w:color="auto" w:sz="4" w:space="0"/>
              <w:right w:val="single" w:color="000000" w:sz="4" w:space="0"/>
            </w:tcBorders>
            <w:noWrap w:val="0"/>
            <w:vAlign w:val="center"/>
          </w:tcPr>
          <w:p w14:paraId="3F02987C">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4600" w:type="dxa"/>
            <w:tcBorders>
              <w:top w:val="single" w:color="000000" w:sz="4" w:space="0"/>
              <w:left w:val="single" w:color="000000" w:sz="4" w:space="0"/>
              <w:right w:val="single" w:color="000000" w:sz="4" w:space="0"/>
            </w:tcBorders>
            <w:noWrap w:val="0"/>
            <w:vAlign w:val="center"/>
          </w:tcPr>
          <w:p w14:paraId="5631E91E">
            <w:pPr>
              <w:spacing w:line="300" w:lineRule="exact"/>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温州市龙湾区永中街道城北农贸市场二楼西首房产五年租赁权     </w:t>
            </w:r>
          </w:p>
        </w:tc>
        <w:tc>
          <w:tcPr>
            <w:tcW w:w="1605" w:type="dxa"/>
            <w:tcBorders>
              <w:top w:val="single" w:color="000000" w:sz="4" w:space="0"/>
              <w:left w:val="single" w:color="000000" w:sz="4" w:space="0"/>
              <w:bottom w:val="single" w:color="000000" w:sz="4" w:space="0"/>
              <w:right w:val="single" w:color="000000" w:sz="4" w:space="0"/>
            </w:tcBorders>
            <w:noWrap w:val="0"/>
            <w:vAlign w:val="center"/>
          </w:tcPr>
          <w:p w14:paraId="48A82410">
            <w:pPr>
              <w:spacing w:line="300" w:lineRule="exact"/>
              <w:jc w:val="center"/>
              <w:rPr>
                <w:rFonts w:hint="eastAsia" w:ascii="宋体" w:hAnsi="宋体" w:eastAsia="宋体" w:cs="宋体"/>
                <w:b w:val="0"/>
                <w:bCs w:val="0"/>
                <w:sz w:val="24"/>
                <w:szCs w:val="24"/>
              </w:rPr>
            </w:pPr>
            <w:r>
              <w:rPr>
                <w:rFonts w:hint="eastAsia" w:ascii="宋体" w:hAnsi="宋体" w:eastAsia="宋体" w:cs="宋体"/>
                <w:bCs/>
                <w:kern w:val="2"/>
                <w:sz w:val="24"/>
                <w:szCs w:val="24"/>
                <w:highlight w:val="none"/>
                <w:u w:val="none"/>
                <w:lang w:val="en-US" w:eastAsia="zh-CN" w:bidi="ar-SA"/>
              </w:rPr>
              <w:t xml:space="preserve">约760㎡    </w:t>
            </w:r>
          </w:p>
        </w:tc>
        <w:tc>
          <w:tcPr>
            <w:tcW w:w="1515" w:type="dxa"/>
            <w:tcBorders>
              <w:top w:val="single" w:color="000000" w:sz="4" w:space="0"/>
              <w:left w:val="single" w:color="000000" w:sz="4" w:space="0"/>
              <w:right w:val="single" w:color="000000" w:sz="4" w:space="0"/>
            </w:tcBorders>
            <w:noWrap w:val="0"/>
            <w:vAlign w:val="center"/>
          </w:tcPr>
          <w:p w14:paraId="651A49FD">
            <w:pPr>
              <w:spacing w:line="300" w:lineRule="exact"/>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 xml:space="preserve">63840元      </w:t>
            </w:r>
          </w:p>
        </w:tc>
        <w:tc>
          <w:tcPr>
            <w:tcW w:w="1285" w:type="dxa"/>
            <w:tcBorders>
              <w:top w:val="single" w:color="000000" w:sz="4" w:space="0"/>
              <w:left w:val="nil"/>
              <w:right w:val="single" w:color="auto" w:sz="4" w:space="0"/>
            </w:tcBorders>
            <w:noWrap w:val="0"/>
            <w:vAlign w:val="center"/>
          </w:tcPr>
          <w:p w14:paraId="7091910B">
            <w:pPr>
              <w:spacing w:line="300" w:lineRule="exact"/>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6万元   </w:t>
            </w:r>
          </w:p>
        </w:tc>
      </w:tr>
      <w:tr w14:paraId="15EFAB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70" w:hRule="atLeast"/>
          <w:jc w:val="center"/>
        </w:trPr>
        <w:tc>
          <w:tcPr>
            <w:tcW w:w="9764" w:type="dxa"/>
            <w:gridSpan w:val="5"/>
            <w:tcBorders>
              <w:top w:val="single" w:color="000000" w:sz="4" w:space="0"/>
              <w:left w:val="single" w:color="auto" w:sz="4" w:space="0"/>
              <w:bottom w:val="single" w:color="000000" w:sz="4" w:space="0"/>
              <w:right w:val="single" w:color="auto" w:sz="4" w:space="0"/>
            </w:tcBorders>
            <w:noWrap w:val="0"/>
            <w:vAlign w:val="center"/>
          </w:tcPr>
          <w:p w14:paraId="153BE398">
            <w:pPr>
              <w:numPr>
                <w:ilvl w:val="0"/>
                <w:numId w:val="0"/>
              </w:numPr>
              <w:spacing w:line="300" w:lineRule="exact"/>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注：1.</w:t>
            </w:r>
            <w:r>
              <w:rPr>
                <w:rFonts w:hint="eastAsia" w:ascii="宋体" w:hAnsi="宋体" w:eastAsia="宋体" w:cs="宋体"/>
                <w:kern w:val="0"/>
                <w:sz w:val="24"/>
                <w:szCs w:val="24"/>
                <w:lang w:val="en-US" w:eastAsia="zh-CN" w:bidi="ar"/>
              </w:rPr>
              <w:t>租期5年，租金（不含税）一年一付，先付后用，第1-3年租金为竞价成交价，第4-5年租金在第3年租金基础上递增5%。</w:t>
            </w:r>
          </w:p>
          <w:p w14:paraId="397C3C4C">
            <w:pPr>
              <w:numPr>
                <w:ilvl w:val="0"/>
                <w:numId w:val="0"/>
              </w:numPr>
              <w:spacing w:line="300" w:lineRule="exact"/>
              <w:ind w:firstLine="480" w:firstLineChars="200"/>
              <w:jc w:val="both"/>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2.</w:t>
            </w:r>
            <w:r>
              <w:rPr>
                <w:rFonts w:hint="eastAsia" w:ascii="宋体" w:hAnsi="宋体" w:eastAsia="宋体" w:cs="宋体"/>
                <w:kern w:val="0"/>
                <w:sz w:val="24"/>
                <w:szCs w:val="24"/>
                <w:lang w:val="en-US" w:eastAsia="zh-CN" w:bidi="ar"/>
              </w:rPr>
              <w:t>装修期10天，不计租金及租期。</w:t>
            </w:r>
          </w:p>
          <w:p w14:paraId="435E54FA">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cs="宋体"/>
                <w:kern w:val="0"/>
                <w:sz w:val="24"/>
                <w:szCs w:val="24"/>
                <w:lang w:val="en-US" w:eastAsia="zh-CN" w:bidi="ar"/>
              </w:rPr>
              <w:t>3.</w:t>
            </w:r>
            <w:r>
              <w:rPr>
                <w:rFonts w:hint="eastAsia" w:ascii="宋体" w:hAnsi="宋体" w:eastAsia="宋体" w:cs="宋体"/>
                <w:kern w:val="0"/>
                <w:sz w:val="24"/>
                <w:szCs w:val="24"/>
                <w:lang w:val="en-US" w:eastAsia="zh-CN" w:bidi="ar"/>
              </w:rPr>
              <w:t>经营业态：政府允许的其他市场（如体育文化、教育培训、电器、家具、仓库等）</w:t>
            </w:r>
            <w:r>
              <w:rPr>
                <w:rFonts w:hint="eastAsia" w:ascii="宋体" w:hAnsi="宋体" w:eastAsia="宋体" w:cs="宋体"/>
                <w:bCs/>
                <w:kern w:val="2"/>
                <w:sz w:val="24"/>
                <w:szCs w:val="24"/>
                <w:highlight w:val="none"/>
                <w:lang w:val="en-US" w:eastAsia="zh-CN" w:bidi="ar"/>
              </w:rPr>
              <w:t>。</w:t>
            </w:r>
          </w:p>
          <w:p w14:paraId="79461325">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bCs/>
                <w:kern w:val="2"/>
                <w:sz w:val="24"/>
                <w:szCs w:val="24"/>
                <w:highlight w:val="none"/>
                <w:lang w:val="en-US" w:eastAsia="zh-CN" w:bidi="ar"/>
              </w:rPr>
            </w:pPr>
            <w:r>
              <w:rPr>
                <w:rFonts w:hint="eastAsia" w:ascii="宋体" w:hAnsi="宋体" w:cs="宋体"/>
                <w:bCs/>
                <w:kern w:val="2"/>
                <w:sz w:val="24"/>
                <w:szCs w:val="24"/>
                <w:lang w:val="en-US" w:eastAsia="zh-CN" w:bidi="ar"/>
              </w:rPr>
              <w:t>4</w:t>
            </w:r>
            <w:r>
              <w:rPr>
                <w:rFonts w:hint="default" w:ascii="宋体" w:hAnsi="宋体" w:eastAsia="宋体" w:cs="宋体"/>
                <w:bCs/>
                <w:kern w:val="2"/>
                <w:sz w:val="24"/>
                <w:szCs w:val="24"/>
                <w:lang w:val="en-US" w:eastAsia="zh-CN" w:bidi="ar"/>
              </w:rPr>
              <w:t>.</w:t>
            </w:r>
            <w:r>
              <w:rPr>
                <w:rFonts w:hint="eastAsia" w:ascii="宋体" w:hAnsi="宋体" w:cs="宋体"/>
                <w:kern w:val="0"/>
                <w:sz w:val="24"/>
                <w:szCs w:val="24"/>
                <w:lang w:val="en-US" w:eastAsia="zh-CN" w:bidi="ar"/>
              </w:rPr>
              <w:t>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w:t>
      </w: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453390</wp:posOffset>
            </wp:positionH>
            <wp:positionV relativeFrom="paragraph">
              <wp:posOffset>-3665220</wp:posOffset>
            </wp:positionV>
            <wp:extent cx="5271770" cy="5833110"/>
            <wp:effectExtent l="0" t="0" r="5080" b="15240"/>
            <wp:wrapNone/>
            <wp:docPr id="13"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任何承诺，不承担交易涉及的一切费用。竞得人不得以标的存在瑕疵(包括但不限于无产权证明等原因)拒绝支付成交款、交易服务费等费用或拒绝接收出租人交付的标的。</w:t>
      </w:r>
    </w:p>
    <w:p w14:paraId="6762598F">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0B819D6C">
      <w:pPr>
        <w:keepNext w:val="0"/>
        <w:keepLines w:val="0"/>
        <w:pageBreakBefore w:val="0"/>
        <w:widowControl w:val="0"/>
        <w:kinsoku/>
        <w:wordWrap/>
        <w:overflowPunct/>
        <w:topLinePunct w:val="0"/>
        <w:autoSpaceDE/>
        <w:autoSpaceDN/>
        <w:bidi w:val="0"/>
        <w:adjustRightInd/>
        <w:snapToGrid/>
        <w:spacing w:line="400" w:lineRule="exact"/>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b w:val="0"/>
                <w:bCs w:val="0"/>
                <w:i w:val="0"/>
                <w:caps w:val="0"/>
                <w:color w:val="auto"/>
                <w:spacing w:val="0"/>
                <w:w w:val="100"/>
                <w:sz w:val="21"/>
                <w:highlight w:val="none"/>
                <w:lang w:eastAsia="zh-CN"/>
              </w:rPr>
              <w:t>根据</w:t>
            </w:r>
            <w:r>
              <w:rPr>
                <w:rFonts w:hint="eastAsia"/>
                <w:b w:val="0"/>
                <w:bCs w:val="0"/>
                <w:i w:val="0"/>
                <w:caps w:val="0"/>
                <w:color w:val="auto"/>
                <w:spacing w:val="0"/>
                <w:w w:val="100"/>
                <w:sz w:val="21"/>
                <w:highlight w:val="none"/>
                <w:lang w:val="en-US" w:eastAsia="zh-CN"/>
              </w:rPr>
              <w:t>5年租金总额</w:t>
            </w:r>
            <w:r>
              <w:rPr>
                <w:rFonts w:hint="eastAsia" w:cs="Times New Roman"/>
                <w:b w:val="0"/>
                <w:bCs w:val="0"/>
                <w:i w:val="0"/>
                <w:caps w:val="0"/>
                <w:color w:val="auto"/>
                <w:spacing w:val="0"/>
                <w:w w:val="100"/>
                <w:sz w:val="21"/>
                <w:highlight w:val="none"/>
                <w:lang w:val="en-US" w:eastAsia="zh-CN"/>
              </w:rPr>
              <w:t>，采用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1B749107">
      <w:pPr>
        <w:pStyle w:val="7"/>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leftChars="0" w:right="0" w:rightChars="0" w:firstLine="480" w:firstLineChars="200"/>
        <w:jc w:val="left"/>
        <w:textAlignment w:val="auto"/>
        <w:rPr>
          <w:rFonts w:hint="eastAsia" w:ascii="宋体" w:hAnsi="宋体" w:eastAsia="宋体" w:cs="宋体"/>
          <w:b w:val="0"/>
          <w:bCs w:val="0"/>
          <w:color w:val="auto"/>
          <w:sz w:val="24"/>
          <w:u w:val="none"/>
          <w:lang w:val="en-US" w:eastAsia="zh-CN"/>
        </w:rPr>
      </w:pPr>
      <w:r>
        <w:rPr>
          <w:rFonts w:hint="eastAsia" w:ascii="宋体" w:hAnsi="宋体" w:eastAsia="宋体" w:cs="宋体"/>
          <w:b w:val="0"/>
          <w:bCs w:val="0"/>
          <w:color w:val="auto"/>
          <w:kern w:val="0"/>
          <w:sz w:val="24"/>
          <w:lang w:val="en-US" w:eastAsia="zh-CN" w:bidi="ar-SA"/>
        </w:rPr>
        <w:t>3、</w:t>
      </w:r>
      <w:r>
        <w:rPr>
          <w:rFonts w:hint="eastAsia"/>
          <w:b w:val="0"/>
          <w:bCs/>
          <w:color w:val="auto"/>
          <w:sz w:val="24"/>
          <w:szCs w:val="24"/>
          <w:highlight w:val="none"/>
          <w:lang w:val="en-US" w:eastAsia="zh-CN"/>
        </w:rPr>
        <w:t>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w:t>
      </w:r>
      <w:r>
        <w:rPr>
          <w:rFonts w:hint="eastAsia" w:ascii="宋体" w:hAnsi="宋体"/>
          <w:sz w:val="24"/>
          <w:szCs w:val="24"/>
          <w:lang w:val="en-US" w:eastAsia="zh-CN"/>
        </w:rPr>
        <w:t>物业、</w:t>
      </w:r>
      <w:r>
        <w:rPr>
          <w:rFonts w:hint="eastAsia" w:ascii="宋体" w:hAnsi="宋体"/>
          <w:sz w:val="24"/>
          <w:szCs w:val="24"/>
        </w:rPr>
        <w:t>通讯和相关部门管理费用等一切经营费用以及租赁使用期间的日常维修、维护、保养费用等一切税</w:t>
      </w:r>
      <w:r>
        <w:rPr>
          <w:rFonts w:hint="eastAsia" w:ascii="宋体" w:hAnsi="宋体"/>
          <w:sz w:val="24"/>
          <w:szCs w:val="24"/>
          <w:lang w:eastAsia="zh-CN"/>
        </w:rPr>
        <w:t>、</w:t>
      </w:r>
      <w:r>
        <w:rPr>
          <w:rFonts w:hint="eastAsia" w:ascii="宋体" w:hAnsi="宋体"/>
          <w:sz w:val="24"/>
          <w:szCs w:val="24"/>
        </w:rPr>
        <w:t>费均由承租人承担并自行结算。</w:t>
      </w:r>
    </w:p>
    <w:p w14:paraId="3FB8096A">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r>
        <w:rPr>
          <w:rFonts w:hint="eastAsia" w:ascii="宋体" w:hAnsi="宋体"/>
          <w:b/>
          <w:bCs/>
          <w:color w:val="auto"/>
          <w:sz w:val="44"/>
          <w:szCs w:val="44"/>
          <w:highlight w:val="none"/>
          <w:lang w:val="en-US" w:eastAsia="zh-CN"/>
        </w:rPr>
        <w:drawing>
          <wp:anchor distT="0" distB="0" distL="114300" distR="114300" simplePos="0" relativeHeight="251681792" behindDoc="1" locked="0" layoutInCell="1" allowOverlap="1">
            <wp:simplePos x="0" y="0"/>
            <wp:positionH relativeFrom="column">
              <wp:posOffset>453390</wp:posOffset>
            </wp:positionH>
            <wp:positionV relativeFrom="paragraph">
              <wp:posOffset>-3855720</wp:posOffset>
            </wp:positionV>
            <wp:extent cx="5271770" cy="5833110"/>
            <wp:effectExtent l="0" t="0" r="5080" b="15240"/>
            <wp:wrapNone/>
            <wp:docPr id="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53D9AA4B">
      <w:pPr>
        <w:keepNext w:val="0"/>
        <w:keepLines w:val="0"/>
        <w:pageBreakBefore w:val="0"/>
        <w:widowControl w:val="0"/>
        <w:kinsoku/>
        <w:wordWrap/>
        <w:overflowPunct/>
        <w:topLinePunct w:val="0"/>
        <w:autoSpaceDE/>
        <w:autoSpaceDN/>
        <w:bidi w:val="0"/>
        <w:adjustRightInd/>
        <w:snapToGrid/>
        <w:spacing w:line="40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689AD533">
      <w:pPr>
        <w:pStyle w:val="8"/>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6、标的物无不动产权证，因此，有关部门申请办理相关审批手续及相关证照的风险及责任由承租人自行承担。</w:t>
      </w:r>
    </w:p>
    <w:p w14:paraId="2C6019DE">
      <w:pPr>
        <w:pStyle w:val="8"/>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B3276E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0174629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color w:val="auto"/>
          <w:sz w:val="24"/>
          <w:szCs w:val="24"/>
          <w:highlight w:val="none"/>
          <w:lang w:val="en-US" w:eastAsia="zh-CN"/>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56062DD8">
      <w:pPr>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2026年9月4日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70528" behindDoc="0" locked="0" layoutInCell="1" allowOverlap="1">
                <wp:simplePos x="0" y="0"/>
                <wp:positionH relativeFrom="column">
                  <wp:posOffset>277495</wp:posOffset>
                </wp:positionH>
                <wp:positionV relativeFrom="paragraph">
                  <wp:posOffset>76835</wp:posOffset>
                </wp:positionV>
                <wp:extent cx="5859780" cy="994410"/>
                <wp:effectExtent l="4445" t="4445" r="22225" b="10795"/>
                <wp:wrapNone/>
                <wp:docPr id="21"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21.85pt;margin-top:6.05pt;height:78.3pt;width:461.4pt;z-index:251670528;mso-width-relative:page;mso-height-relative:page;" fillcolor="#FFFFFF" filled="t" stroked="t" coordsize="21600,21600" o:gfxdata="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MMjNi9gAAAAJAQAADwAAAAAAAAABACAAAAAiAAAAZHJzL2Rvd25yZXYueG1s&#10;UEsBAhQAFAAAAAgAh07iQPorjcgxAgAAeAQAAA4AAAAAAAAAAQAgAAAAJwEAAGRycy9lMm9Eb2Mu&#10;eG1sUEsFBgAAAAAGAAYAWQEAAMoFA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883"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088" w:bottom="1440" w:left="1088" w:header="851" w:footer="992" w:gutter="0"/>
          <w:pgNumType w:fmt="decimal" w:start="1"/>
          <w:cols w:space="720" w:num="1"/>
          <w:titlePg/>
          <w:docGrid w:type="lines" w:linePitch="312" w:charSpace="0"/>
        </w:sectPr>
      </w:pP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453390</wp:posOffset>
            </wp:positionH>
            <wp:positionV relativeFrom="paragraph">
              <wp:posOffset>-1627505</wp:posOffset>
            </wp:positionV>
            <wp:extent cx="5271770" cy="5833110"/>
            <wp:effectExtent l="0" t="0" r="5080" b="15240"/>
            <wp:wrapNone/>
            <wp:docPr id="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2026年9月14日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8"/>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租期5年，租金（不含税）一年一付，先付后用，第1-3年租金为竞价成交价，第4-5年租金在第3年租金基础上递增5%</w:t>
      </w:r>
      <w:r>
        <w:rPr>
          <w:rFonts w:hint="eastAsia" w:ascii="宋体" w:hAnsi="宋体"/>
          <w:b/>
          <w:bCs/>
          <w:color w:val="auto"/>
          <w:sz w:val="24"/>
          <w:highlight w:val="none"/>
          <w:lang w:eastAsia="zh-CN"/>
        </w:rPr>
        <w:t>。</w:t>
      </w:r>
    </w:p>
    <w:p w14:paraId="313807F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21</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20F2C">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具体租赁事项以竞得人与温州市龙湾区永中街道城北村集体经济组织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w:t>
      </w:r>
      <w:r>
        <w:rPr>
          <w:rFonts w:hint="eastAsia" w:ascii="宋体" w:hAnsi="宋体"/>
          <w:color w:val="auto"/>
          <w:kern w:val="2"/>
          <w:sz w:val="24"/>
          <w:szCs w:val="24"/>
          <w:highlight w:val="none"/>
          <w:lang w:val="en-US" w:eastAsia="zh-CN" w:bidi="ar-SA"/>
        </w:rPr>
        <w:t>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 xml:space="preserve">  </w:t>
      </w:r>
      <w:r>
        <w:rPr>
          <w:rFonts w:hint="eastAsia" w:ascii="宋体" w:hAnsi="宋体" w:eastAsia="宋体"/>
          <w:color w:val="auto"/>
          <w:kern w:val="2"/>
          <w:sz w:val="24"/>
          <w:szCs w:val="24"/>
          <w:highlight w:val="none"/>
          <w:lang w:val="en-US" w:eastAsia="zh-CN" w:bidi="ar-SA"/>
        </w:rPr>
        <w:t>月  日</w:t>
      </w:r>
    </w:p>
    <w:p w14:paraId="28344F60">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sz w:val="48"/>
          <w:szCs w:val="48"/>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C8CB364">
      <w:pPr>
        <w:spacing w:line="600" w:lineRule="exact"/>
        <w:jc w:val="center"/>
        <w:rPr>
          <w:rFonts w:ascii="仿宋_GB2312" w:hAnsi="宋体" w:eastAsia="仿宋_GB2312"/>
          <w:b/>
          <w:sz w:val="24"/>
          <w:szCs w:val="24"/>
        </w:rPr>
      </w:pPr>
      <w:bookmarkStart w:id="0" w:name="_GoBack"/>
      <w:bookmarkEnd w:id="0"/>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spacing w:line="380" w:lineRule="exact"/>
        <w:jc w:val="lef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温州市龙湾区永中街道城北村集体经济组织         </w:t>
      </w:r>
      <w:r>
        <w:rPr>
          <w:rFonts w:hint="eastAsia" w:ascii="宋体" w:hAnsi="宋体" w:cs="宋体"/>
          <w:color w:val="auto"/>
          <w:sz w:val="24"/>
          <w:szCs w:val="24"/>
          <w:highlight w:val="none"/>
        </w:rPr>
        <w:t>（以下简称甲方）</w:t>
      </w:r>
    </w:p>
    <w:p w14:paraId="0096014D">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DA298C9">
      <w:pPr>
        <w:keepNext w:val="0"/>
        <w:keepLines w:val="0"/>
        <w:pageBreakBefore w:val="0"/>
        <w:widowControl w:val="0"/>
        <w:kinsoku/>
        <w:overflowPunct/>
        <w:topLinePunct w:val="0"/>
        <w:autoSpaceDN/>
        <w:bidi w:val="0"/>
        <w:adjustRightInd/>
        <w:spacing w:line="400" w:lineRule="exact"/>
        <w:ind w:firstLine="720" w:firstLineChars="300"/>
        <w:textAlignment w:val="auto"/>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2E05788A">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0FE7D3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wordWrap w:val="0"/>
        <w:spacing w:line="380" w:lineRule="exact"/>
        <w:ind w:left="420" w:leftChars="200" w:firstLine="0" w:firstLineChars="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F69BD89">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3CD9160B">
      <w:pPr>
        <w:pStyle w:val="3"/>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10 </w:t>
      </w:r>
      <w:r>
        <w:rPr>
          <w:rFonts w:hint="eastAsia" w:ascii="宋体" w:hAnsi="宋体" w:cs="宋体"/>
          <w:color w:val="auto"/>
          <w:szCs w:val="24"/>
          <w:highlight w:val="none"/>
          <w:lang w:val="en-US" w:eastAsia="zh-CN"/>
        </w:rPr>
        <w:t>天</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none"/>
          <w:lang w:eastAsia="zh-CN"/>
        </w:rPr>
        <w:t>。</w:t>
      </w:r>
    </w:p>
    <w:p w14:paraId="2530D564">
      <w:pPr>
        <w:pStyle w:val="3"/>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2227218">
      <w:pPr>
        <w:pStyle w:val="3"/>
        <w:spacing w:line="380" w:lineRule="exact"/>
        <w:rPr>
          <w:rFonts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三</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477C956B">
      <w:pPr>
        <w:pStyle w:val="3"/>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5A40363">
      <w:pPr>
        <w:pStyle w:val="3"/>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7B6E43E0">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283A8B73">
      <w:pPr>
        <w:pStyle w:val="3"/>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46EA0DF3">
      <w:pPr>
        <w:pStyle w:val="3"/>
        <w:spacing w:line="380" w:lineRule="exact"/>
        <w:rPr>
          <w:rFonts w:hint="eastAsia" w:ascii="宋体" w:hAnsi="宋体" w:cs="宋体"/>
          <w:color w:val="auto"/>
          <w:kern w:val="0"/>
          <w:szCs w:val="24"/>
          <w:highlight w:val="none"/>
          <w:u w:val="none"/>
          <w:lang w:eastAsia="zh-CN"/>
        </w:rPr>
      </w:pPr>
      <w:r>
        <w:rPr>
          <w:rFonts w:hint="eastAsia" w:ascii="宋体" w:hAnsi="宋体" w:cs="宋体"/>
          <w:color w:val="auto"/>
          <w:szCs w:val="24"/>
          <w:highlight w:val="none"/>
          <w:u w:val="none"/>
          <w:lang w:val="en-US" w:eastAsia="zh-CN"/>
        </w:rPr>
        <w:t>3.</w:t>
      </w:r>
      <w:r>
        <w:rPr>
          <w:rFonts w:hint="eastAsia" w:ascii="宋体" w:hAnsi="宋体"/>
          <w:color w:val="auto"/>
          <w:szCs w:val="24"/>
          <w:highlight w:val="none"/>
          <w:u w:val="none"/>
          <w:lang w:val="en-US" w:eastAsia="zh-CN"/>
        </w:rPr>
        <w:t>第三年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7C04383F">
      <w:pPr>
        <w:pStyle w:val="3"/>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4.第四年年租金￥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3DBD065B">
      <w:pPr>
        <w:pStyle w:val="3"/>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5.第五年年租金￥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110F4452">
      <w:pPr>
        <w:pStyle w:val="3"/>
        <w:spacing w:line="380" w:lineRule="exact"/>
        <w:ind w:left="0" w:leftChars="0" w:firstLine="480" w:firstLineChars="200"/>
        <w:rPr>
          <w:rFonts w:hint="default" w:ascii="宋体" w:hAnsi="宋体" w:cs="宋体"/>
          <w:color w:val="auto"/>
          <w:kern w:val="0"/>
          <w:szCs w:val="24"/>
          <w:highlight w:val="yellow"/>
          <w:u w:val="none"/>
          <w:lang w:val="en-US"/>
        </w:rPr>
      </w:pPr>
      <w:r>
        <w:rPr>
          <w:rFonts w:hint="eastAsia" w:ascii="宋体" w:hAnsi="宋体" w:cs="宋体"/>
          <w:color w:val="auto"/>
          <w:szCs w:val="24"/>
          <w:highlight w:val="none"/>
          <w:u w:val="none"/>
          <w:lang w:val="en-US" w:eastAsia="zh-CN"/>
        </w:rPr>
        <w:t>6.</w:t>
      </w:r>
      <w:r>
        <w:rPr>
          <w:rFonts w:hint="eastAsia" w:ascii="宋体" w:hAnsi="宋体" w:eastAsia="宋体" w:cs="宋体"/>
          <w:color w:val="auto"/>
          <w:szCs w:val="24"/>
          <w:highlight w:val="none"/>
          <w:u w:val="single"/>
          <w:lang w:val="en-US" w:eastAsia="zh-CN"/>
        </w:rPr>
        <w:t>租期5年，租金（不含税）一年一付，先付后用，第1-3年租金为竞价成交价，第4-5年租金在第3年租金基础上递增5%</w:t>
      </w:r>
      <w:r>
        <w:rPr>
          <w:rFonts w:hint="eastAsia" w:ascii="宋体" w:hAnsi="宋体" w:cs="宋体"/>
          <w:color w:val="auto"/>
          <w:szCs w:val="24"/>
          <w:highlight w:val="none"/>
          <w:u w:val="single"/>
          <w:lang w:val="en-US" w:eastAsia="zh-CN"/>
        </w:rPr>
        <w:t>，下期租金应在上期租赁期限届满前1个月付清。</w:t>
      </w:r>
    </w:p>
    <w:p w14:paraId="494A8111">
      <w:pPr>
        <w:pStyle w:val="3"/>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w:t>
      </w: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-5140960</wp:posOffset>
            </wp:positionV>
            <wp:extent cx="5271770" cy="5833110"/>
            <wp:effectExtent l="0" t="0" r="5080" b="15240"/>
            <wp:wrapNone/>
            <wp:docPr id="2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kern w:val="0"/>
          <w:szCs w:val="24"/>
          <w:highlight w:val="none"/>
        </w:rPr>
        <w:t>或先予支付上述费用，保证金不足部分，乙方须在接到甲方通知后10天内予以补足。</w:t>
      </w:r>
    </w:p>
    <w:p w14:paraId="1FC15555">
      <w:pPr>
        <w:pStyle w:val="3"/>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（三）租金含税，甲方收齐首年租金后向乙方开具租金发票，一切租赁期间产生的税、费均由乙方承担并结算</w:t>
      </w:r>
      <w:r>
        <w:rPr>
          <w:rFonts w:hint="eastAsia" w:ascii="宋体" w:hAnsi="宋体" w:cs="宋体"/>
          <w:color w:val="auto"/>
          <w:szCs w:val="24"/>
          <w:highlight w:val="none"/>
          <w:lang w:eastAsia="zh-CN"/>
        </w:rPr>
        <w:t>。</w:t>
      </w:r>
    </w:p>
    <w:p w14:paraId="12ECF52D">
      <w:pPr>
        <w:pStyle w:val="3"/>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20B65EC">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3785E4C7">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69C22991">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E04D053">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039F938E">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w:t>
      </w:r>
      <w:r>
        <w:rPr>
          <w:rFonts w:hint="eastAsia" w:ascii="宋体" w:hAnsi="宋体"/>
          <w:b/>
          <w:bCs/>
          <w:color w:val="auto"/>
          <w:sz w:val="44"/>
          <w:szCs w:val="44"/>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担。</w:t>
      </w:r>
    </w:p>
    <w:p w14:paraId="4A212E10">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97787D2">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F7F993D">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（三）合同双方任何一方因故不能继续履行合同，需提前2个月以书面形式通知对方，经双方协商一致后，方可办理合同解除手续。</w:t>
      </w:r>
    </w:p>
    <w:p w14:paraId="7ED5CE4D">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3"/>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757C2315">
      <w:pPr>
        <w:pStyle w:val="3"/>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3"/>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5FD1D512">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w:t>
      </w:r>
      <w:r>
        <w:rPr>
          <w:rFonts w:hint="eastAsia" w:ascii="宋体" w:hAnsi="宋体"/>
          <w:b/>
          <w:bCs/>
          <w:color w:val="auto"/>
          <w:sz w:val="44"/>
          <w:szCs w:val="44"/>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述第（三）、（四）款单方解除合同情形时，守约方解除合同的书面通知送达对方时生效，生效当天本合同解除。</w:t>
      </w:r>
    </w:p>
    <w:p w14:paraId="69F65E4E">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331769D">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86C625">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20520439">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w:t>
      </w:r>
      <w:r>
        <w:rPr>
          <w:rFonts w:hint="eastAsia" w:ascii="宋体" w:hAnsi="宋体"/>
          <w:b/>
          <w:bCs/>
          <w:color w:val="auto"/>
          <w:sz w:val="44"/>
          <w:szCs w:val="44"/>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-1927860</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合同、劳资等纠纷或者责任事故，由乙方自行负责，与甲方无关。</w:t>
      </w:r>
    </w:p>
    <w:p w14:paraId="1FB344A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7765845A">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72D947E1">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E9AD0FC">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18389B3F">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12E1F99">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7DD1F25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0369DDFD">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3ACF891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586BE3C">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415470F7">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A3C86CE">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3"/>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7A318973">
      <w:pPr>
        <w:pStyle w:val="3"/>
        <w:spacing w:line="380" w:lineRule="exact"/>
        <w:ind w:left="240" w:hanging="240" w:hangingChars="100"/>
        <w:rPr>
          <w:rFonts w:ascii="宋体" w:hAnsi="宋体" w:cs="宋体"/>
          <w:szCs w:val="24"/>
        </w:rPr>
      </w:pPr>
    </w:p>
    <w:p w14:paraId="3F5466C7">
      <w:pPr>
        <w:pStyle w:val="3"/>
        <w:spacing w:line="380" w:lineRule="exact"/>
        <w:ind w:left="240" w:hanging="240" w:hangingChars="100"/>
        <w:rPr>
          <w:rFonts w:ascii="宋体" w:hAnsi="宋体" w:cs="宋体"/>
          <w:szCs w:val="24"/>
        </w:rPr>
      </w:pPr>
    </w:p>
    <w:p w14:paraId="171EF8B3">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442E3983">
      <w:pPr>
        <w:spacing w:line="380" w:lineRule="exact"/>
        <w:ind w:right="480" w:firstLine="4320" w:firstLineChars="1800"/>
        <w:rPr>
          <w:rFonts w:hint="eastAsia" w:ascii="宋体" w:hAnsi="宋体" w:cs="宋体"/>
          <w:sz w:val="24"/>
          <w:szCs w:val="24"/>
        </w:rPr>
      </w:pPr>
    </w:p>
    <w:p w14:paraId="20B8FC66">
      <w:pPr>
        <w:spacing w:line="380" w:lineRule="exact"/>
        <w:ind w:right="480" w:firstLine="4320" w:firstLineChars="1800"/>
        <w:rPr>
          <w:rFonts w:hint="eastAsia" w:ascii="宋体" w:hAnsi="宋体" w:cs="宋体"/>
          <w:sz w:val="24"/>
          <w:szCs w:val="24"/>
        </w:rPr>
      </w:pPr>
    </w:p>
    <w:p w14:paraId="581C87AD">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4634EC9A">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7067F40">
      <w:pPr>
        <w:spacing w:line="380" w:lineRule="exact"/>
        <w:ind w:right="480" w:firstLine="4320" w:firstLineChars="1800"/>
        <w:rPr>
          <w:rFonts w:hint="eastAsia" w:ascii="宋体" w:hAnsi="宋体" w:cs="宋体"/>
          <w:sz w:val="24"/>
          <w:szCs w:val="24"/>
        </w:rPr>
      </w:pPr>
    </w:p>
    <w:p w14:paraId="28BAF51B">
      <w:pPr>
        <w:spacing w:line="380" w:lineRule="exact"/>
        <w:ind w:right="480" w:firstLine="4320" w:firstLineChars="1800"/>
        <w:rPr>
          <w:rFonts w:hint="eastAsia" w:ascii="宋体" w:hAnsi="宋体" w:cs="宋体"/>
          <w:sz w:val="24"/>
          <w:szCs w:val="24"/>
        </w:rPr>
      </w:pPr>
    </w:p>
    <w:p w14:paraId="3C3F3230">
      <w:pPr>
        <w:spacing w:line="380" w:lineRule="exact"/>
        <w:ind w:right="480" w:firstLine="4320" w:firstLineChars="1800"/>
        <w:rPr>
          <w:rFonts w:hint="eastAsia" w:ascii="宋体" w:hAnsi="宋体" w:cs="宋体"/>
          <w:sz w:val="24"/>
          <w:szCs w:val="24"/>
        </w:rPr>
      </w:pPr>
    </w:p>
    <w:p w14:paraId="7FEFEACC">
      <w:pPr>
        <w:spacing w:line="380" w:lineRule="exact"/>
        <w:ind w:right="480" w:firstLine="4320" w:firstLineChars="1800"/>
        <w:rPr>
          <w:rFonts w:hint="eastAsia" w:ascii="宋体" w:hAnsi="宋体" w:cs="宋体"/>
          <w:sz w:val="24"/>
          <w:szCs w:val="24"/>
        </w:rPr>
      </w:pPr>
    </w:p>
    <w:p w14:paraId="43E048C3">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1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44E0BC8">
      <w:pPr>
        <w:spacing w:line="380" w:lineRule="exact"/>
        <w:ind w:right="480" w:firstLine="4320" w:firstLineChars="1800"/>
        <w:rPr>
          <w:rFonts w:hint="eastAsia" w:ascii="宋体" w:hAnsi="宋体" w:cs="宋体"/>
          <w:sz w:val="24"/>
          <w:szCs w:val="24"/>
        </w:rPr>
      </w:pPr>
    </w:p>
    <w:p w14:paraId="2715DCC3">
      <w:pPr>
        <w:spacing w:line="380" w:lineRule="exact"/>
        <w:ind w:right="480" w:firstLine="4320" w:firstLineChars="1800"/>
        <w:rPr>
          <w:rFonts w:hint="eastAsia" w:ascii="宋体" w:hAnsi="宋体" w:cs="宋体"/>
          <w:sz w:val="24"/>
          <w:szCs w:val="24"/>
        </w:rPr>
      </w:pPr>
    </w:p>
    <w:p w14:paraId="064F8935">
      <w:pPr>
        <w:spacing w:line="380" w:lineRule="exact"/>
        <w:ind w:right="480" w:firstLine="4320" w:firstLineChars="1800"/>
        <w:rPr>
          <w:rFonts w:hint="eastAsia" w:ascii="宋体" w:hAnsi="宋体" w:cs="宋体"/>
          <w:sz w:val="24"/>
          <w:szCs w:val="24"/>
        </w:rPr>
      </w:pPr>
    </w:p>
    <w:p w14:paraId="504D5E9B">
      <w:pPr>
        <w:spacing w:line="380" w:lineRule="exact"/>
        <w:ind w:right="480" w:firstLine="4320" w:firstLineChars="1800"/>
        <w:rPr>
          <w:rFonts w:hint="eastAsia" w:ascii="宋体" w:hAnsi="宋体" w:cs="宋体"/>
          <w:sz w:val="24"/>
          <w:szCs w:val="24"/>
        </w:rPr>
      </w:pPr>
    </w:p>
    <w:p w14:paraId="443B550F">
      <w:pPr>
        <w:spacing w:line="380" w:lineRule="exact"/>
        <w:ind w:right="480" w:firstLine="4320" w:firstLineChars="1800"/>
        <w:rPr>
          <w:rFonts w:hint="eastAsia" w:ascii="宋体" w:hAnsi="宋体" w:cs="宋体"/>
          <w:sz w:val="24"/>
          <w:szCs w:val="24"/>
        </w:rPr>
      </w:pPr>
    </w:p>
    <w:p w14:paraId="0376B392">
      <w:pPr>
        <w:spacing w:line="380" w:lineRule="exact"/>
        <w:ind w:right="480"/>
        <w:rPr>
          <w:rFonts w:hint="eastAsia" w:ascii="宋体" w:hAnsi="宋体" w:cs="宋体"/>
          <w:sz w:val="24"/>
          <w:szCs w:val="24"/>
        </w:rPr>
      </w:pPr>
    </w:p>
    <w:p w14:paraId="4FC2CD28">
      <w:pPr>
        <w:pStyle w:val="8"/>
        <w:rPr>
          <w:rFonts w:hint="eastAsia"/>
        </w:rPr>
      </w:pPr>
    </w:p>
    <w:p w14:paraId="7D12E8A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6432"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r>
        <w:rPr>
          <w:sz w:val="21"/>
        </w:rPr>
        <mc:AlternateContent>
          <mc:Choice Requires="wps">
            <w:drawing>
              <wp:anchor distT="0" distB="0" distL="114300" distR="114300" simplePos="0" relativeHeight="251671552" behindDoc="0" locked="0" layoutInCell="1" allowOverlap="1">
                <wp:simplePos x="0" y="0"/>
                <wp:positionH relativeFrom="column">
                  <wp:posOffset>113030</wp:posOffset>
                </wp:positionH>
                <wp:positionV relativeFrom="paragraph">
                  <wp:posOffset>101600</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8.9pt;margin-top:8pt;height:94.5pt;width:478.5pt;z-index:251671552;mso-width-relative:page;mso-height-relative:page;" fillcolor="#FFFFFF" filled="t" stroked="t" coordsize="21600,21600" o:gfxdata="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HQYKnVAAAACQEAAA8AAAAAAAAAAQAgAAAAIgAAAGRycy9kb3ducmV2LnhtbFBLAQIUABQA&#10;AAAIAIdO4kBONdDHZQIAAAEFAAAOAAAAAAAAAAEAIAAAACQBAABkcnMvZTJvRG9jLnhtbFBLBQYA&#10;AAAABgAGAFkBAAD7BQ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p>
    <w:p w14:paraId="778967DC"/>
    <w:p w14:paraId="38F13501">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5"/>
      <w:framePr w:wrap="around" w:vAnchor="text" w:hAnchor="margin" w:xAlign="center" w:y="1"/>
      <w:rPr>
        <w:rStyle w:val="14"/>
        <w:rFonts w:hint="eastAsia"/>
      </w:rPr>
    </w:pPr>
  </w:p>
  <w:p w14:paraId="61B3317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5"/>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5"/>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ECAA8">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DAECAA8">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 xml:space="preserve"> 页</w:t>
                    </w:r>
                  </w:p>
                </w:txbxContent>
              </v:textbox>
            </v:shape>
          </w:pict>
        </mc:Fallback>
      </mc:AlternateContent>
    </w:r>
  </w:p>
  <w:p w14:paraId="740265FF">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9F78F">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D59F78F">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63884"/>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B5FA3"/>
    <w:rsid w:val="054D2915"/>
    <w:rsid w:val="05832D9D"/>
    <w:rsid w:val="05924D4E"/>
    <w:rsid w:val="05A131E3"/>
    <w:rsid w:val="05C72C4A"/>
    <w:rsid w:val="05E15C61"/>
    <w:rsid w:val="05EE0416"/>
    <w:rsid w:val="061816F7"/>
    <w:rsid w:val="063D6CE4"/>
    <w:rsid w:val="0644429B"/>
    <w:rsid w:val="0648365F"/>
    <w:rsid w:val="065D02DA"/>
    <w:rsid w:val="069F7723"/>
    <w:rsid w:val="06A8306B"/>
    <w:rsid w:val="06B62CBE"/>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A00FEE"/>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C64BA8"/>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7019A5"/>
    <w:rsid w:val="0E9438E5"/>
    <w:rsid w:val="0EA31D7A"/>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2854DC"/>
    <w:rsid w:val="11365128"/>
    <w:rsid w:val="116C28F7"/>
    <w:rsid w:val="11875983"/>
    <w:rsid w:val="11877731"/>
    <w:rsid w:val="118E6D12"/>
    <w:rsid w:val="119058ED"/>
    <w:rsid w:val="119F0F1F"/>
    <w:rsid w:val="11CE7F85"/>
    <w:rsid w:val="11DF30C9"/>
    <w:rsid w:val="12086AC4"/>
    <w:rsid w:val="125308C6"/>
    <w:rsid w:val="125A7AA6"/>
    <w:rsid w:val="127759F8"/>
    <w:rsid w:val="127777A6"/>
    <w:rsid w:val="12816876"/>
    <w:rsid w:val="12940358"/>
    <w:rsid w:val="12AA46E8"/>
    <w:rsid w:val="12B427A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1768EF"/>
    <w:rsid w:val="143C6FAC"/>
    <w:rsid w:val="1444190A"/>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80755"/>
    <w:rsid w:val="1ABF727F"/>
    <w:rsid w:val="1AC047DA"/>
    <w:rsid w:val="1AC6751C"/>
    <w:rsid w:val="1AE17EB2"/>
    <w:rsid w:val="1AE836D1"/>
    <w:rsid w:val="1AF44DD8"/>
    <w:rsid w:val="1B134C01"/>
    <w:rsid w:val="1B21373F"/>
    <w:rsid w:val="1B2D42DC"/>
    <w:rsid w:val="1B44703D"/>
    <w:rsid w:val="1B486183"/>
    <w:rsid w:val="1B4A06C8"/>
    <w:rsid w:val="1B4D32E6"/>
    <w:rsid w:val="1B4E306E"/>
    <w:rsid w:val="1B55319F"/>
    <w:rsid w:val="1B851185"/>
    <w:rsid w:val="1BB04A9C"/>
    <w:rsid w:val="1BC872C4"/>
    <w:rsid w:val="1BDD4B1E"/>
    <w:rsid w:val="1BE35EAC"/>
    <w:rsid w:val="1BEA4254"/>
    <w:rsid w:val="1C0D7A23"/>
    <w:rsid w:val="1C3B5CE8"/>
    <w:rsid w:val="1C413713"/>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49353B"/>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C1334C"/>
    <w:rsid w:val="22E76282"/>
    <w:rsid w:val="22EC5646"/>
    <w:rsid w:val="22F34410"/>
    <w:rsid w:val="231B5F2B"/>
    <w:rsid w:val="231D1975"/>
    <w:rsid w:val="234F2396"/>
    <w:rsid w:val="236B0C61"/>
    <w:rsid w:val="23783346"/>
    <w:rsid w:val="23A322E4"/>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C8457A"/>
    <w:rsid w:val="27E04561"/>
    <w:rsid w:val="27E533D0"/>
    <w:rsid w:val="27E71F60"/>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A24CB1"/>
    <w:rsid w:val="29A749BD"/>
    <w:rsid w:val="29B07D72"/>
    <w:rsid w:val="29DB4666"/>
    <w:rsid w:val="29F15C38"/>
    <w:rsid w:val="29FE4E85"/>
    <w:rsid w:val="29FF65A7"/>
    <w:rsid w:val="2A202079"/>
    <w:rsid w:val="2A245168"/>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971E9"/>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D87E0D"/>
    <w:rsid w:val="2DE9754D"/>
    <w:rsid w:val="2E0777D8"/>
    <w:rsid w:val="2E1A575D"/>
    <w:rsid w:val="2E206AEC"/>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F3AEC"/>
    <w:rsid w:val="2F4F1437"/>
    <w:rsid w:val="2F4F423B"/>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7D1FD3"/>
    <w:rsid w:val="30A12166"/>
    <w:rsid w:val="30A91F61"/>
    <w:rsid w:val="30AE4CCA"/>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A81635"/>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D131EC"/>
    <w:rsid w:val="36E061C9"/>
    <w:rsid w:val="36E86733"/>
    <w:rsid w:val="36F6663C"/>
    <w:rsid w:val="36F93436"/>
    <w:rsid w:val="371F5B92"/>
    <w:rsid w:val="3720190B"/>
    <w:rsid w:val="373B6744"/>
    <w:rsid w:val="37423AD1"/>
    <w:rsid w:val="37757EA8"/>
    <w:rsid w:val="37BE184F"/>
    <w:rsid w:val="37C103B8"/>
    <w:rsid w:val="37DF3574"/>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5B29A4"/>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976161"/>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DB1ADB"/>
    <w:rsid w:val="3DE96EFA"/>
    <w:rsid w:val="3E1958BD"/>
    <w:rsid w:val="3E22630A"/>
    <w:rsid w:val="3E4660FB"/>
    <w:rsid w:val="3E467DCB"/>
    <w:rsid w:val="3E483C21"/>
    <w:rsid w:val="3E612F34"/>
    <w:rsid w:val="3E687722"/>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A24034"/>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44030D"/>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6474D"/>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A87D2F"/>
    <w:rsid w:val="46B34549"/>
    <w:rsid w:val="46B67B95"/>
    <w:rsid w:val="46C978C9"/>
    <w:rsid w:val="46CB3641"/>
    <w:rsid w:val="46CC1167"/>
    <w:rsid w:val="46E368EE"/>
    <w:rsid w:val="46E666CD"/>
    <w:rsid w:val="46EE37D3"/>
    <w:rsid w:val="470A2EDA"/>
    <w:rsid w:val="47116B02"/>
    <w:rsid w:val="47256E27"/>
    <w:rsid w:val="4762645B"/>
    <w:rsid w:val="47797436"/>
    <w:rsid w:val="478D6B48"/>
    <w:rsid w:val="479954ED"/>
    <w:rsid w:val="479B1265"/>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B30D5B"/>
    <w:rsid w:val="4AB32D6A"/>
    <w:rsid w:val="4AB60164"/>
    <w:rsid w:val="4AC05487"/>
    <w:rsid w:val="4AC5484B"/>
    <w:rsid w:val="4ADB7BCB"/>
    <w:rsid w:val="4ADE1237"/>
    <w:rsid w:val="4ADE5503"/>
    <w:rsid w:val="4AEC627C"/>
    <w:rsid w:val="4AFB2A57"/>
    <w:rsid w:val="4B0C5FD6"/>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2F6EAD"/>
    <w:rsid w:val="50406E4E"/>
    <w:rsid w:val="50553F96"/>
    <w:rsid w:val="50A76ECD"/>
    <w:rsid w:val="50A867A1"/>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481FEA"/>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291FD0"/>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35E52"/>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A48B3"/>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600D6620"/>
    <w:rsid w:val="601E082E"/>
    <w:rsid w:val="60213E7A"/>
    <w:rsid w:val="60686F62"/>
    <w:rsid w:val="607D004F"/>
    <w:rsid w:val="60A1099E"/>
    <w:rsid w:val="60B44CEE"/>
    <w:rsid w:val="60BC68A6"/>
    <w:rsid w:val="611B6B1B"/>
    <w:rsid w:val="612400C6"/>
    <w:rsid w:val="61504A17"/>
    <w:rsid w:val="61564EDF"/>
    <w:rsid w:val="615D7134"/>
    <w:rsid w:val="61920923"/>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894F4F"/>
    <w:rsid w:val="679D028A"/>
    <w:rsid w:val="67DE774C"/>
    <w:rsid w:val="67F320F3"/>
    <w:rsid w:val="681F15E7"/>
    <w:rsid w:val="68305F32"/>
    <w:rsid w:val="6848469A"/>
    <w:rsid w:val="685F76DC"/>
    <w:rsid w:val="686C0807"/>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47019F"/>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AA2F40"/>
    <w:rsid w:val="6EC9405A"/>
    <w:rsid w:val="6EE90259"/>
    <w:rsid w:val="6EED7D49"/>
    <w:rsid w:val="6EF50549"/>
    <w:rsid w:val="6F143527"/>
    <w:rsid w:val="6F22260E"/>
    <w:rsid w:val="6F307C36"/>
    <w:rsid w:val="6F4E5BE9"/>
    <w:rsid w:val="6F580DF0"/>
    <w:rsid w:val="6F7310C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86401E"/>
    <w:rsid w:val="7487479C"/>
    <w:rsid w:val="748B3D99"/>
    <w:rsid w:val="74B84955"/>
    <w:rsid w:val="74D55484"/>
    <w:rsid w:val="74E7348C"/>
    <w:rsid w:val="74F00593"/>
    <w:rsid w:val="74FB2A94"/>
    <w:rsid w:val="75001638"/>
    <w:rsid w:val="75047B9A"/>
    <w:rsid w:val="75061B64"/>
    <w:rsid w:val="75063912"/>
    <w:rsid w:val="754948E1"/>
    <w:rsid w:val="756643B1"/>
    <w:rsid w:val="757D46F3"/>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031AB5"/>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C77DB2"/>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E35433"/>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1"/>
    <w:pPr>
      <w:spacing w:before="52"/>
      <w:ind w:left="100"/>
    </w:pPr>
    <w:rPr>
      <w:rFonts w:ascii="宋体" w:hAnsi="宋体" w:eastAsia="宋体" w:cs="宋体"/>
      <w:sz w:val="24"/>
      <w:szCs w:val="24"/>
      <w:lang w:val="zh-CN" w:eastAsia="zh-CN" w:bidi="zh-CN"/>
    </w:rPr>
  </w:style>
  <w:style w:type="paragraph" w:styleId="3">
    <w:name w:val="Body Text Indent"/>
    <w:basedOn w:val="1"/>
    <w:qFormat/>
    <w:uiPriority w:val="0"/>
    <w:pPr>
      <w:spacing w:line="500" w:lineRule="exact"/>
      <w:ind w:firstLine="480" w:firstLineChars="200"/>
    </w:pPr>
    <w:rPr>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8">
    <w:name w:val="Body Text First Indent"/>
    <w:basedOn w:val="2"/>
    <w:next w:val="1"/>
    <w:qFormat/>
    <w:uiPriority w:val="99"/>
    <w:pPr>
      <w:ind w:firstLine="420" w:firstLineChars="100"/>
    </w:pPr>
    <w:rPr>
      <w:kern w:val="0"/>
      <w:sz w:val="20"/>
      <w:szCs w:val="20"/>
    </w:rPr>
  </w:style>
  <w:style w:type="paragraph" w:styleId="9">
    <w:name w:val="Body Text First Indent 2"/>
    <w:basedOn w:val="3"/>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12465</Words>
  <Characters>12862</Characters>
  <Lines>74</Lines>
  <Paragraphs>20</Paragraphs>
  <TotalTime>1</TotalTime>
  <ScaleCrop>false</ScaleCrop>
  <LinksUpToDate>false</LinksUpToDate>
  <CharactersWithSpaces>14443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2026-09-03T02:17:03Z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AEB7491D1F27473FB5D8D55CB42C62D9_13</vt:lpwstr>
  </property>
  <property fmtid="{D5CDD505-2E9C-101B-9397-08002B2CF9AE}" pid="4" name="KSOTemplateDocerSaveRecord">
    <vt:lpwstr>eyJoZGlkIjoiZWY3YzVmZWRlOTZkZTAyYmRiYmYxNjRkOTE5OWVjNGEiLCJ1c2VySWQiOiIzODY3MjAwMTYifQ==</vt:lpwstr>
  </property>
</Properties>
</file>