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温州市龙湾区沙城街道七二村中心街289号、后幢14-20号及沙城大街838-840号三宗房产五年租赁权竞价文件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2026年9月8日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温州市龙湾区沙城街道七二村中心街289号、后幢14-20号及沙城大街838-840号三宗房产五年租赁权竞价公告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2026年9月15日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2026年9月16日上午10时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温州市龙湾区沙城街道七二村中心街289号、后幢14-20号及沙城大街838-840号三宗房产五年租赁权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675"/>
        <w:gridCol w:w="1410"/>
        <w:gridCol w:w="1545"/>
        <w:gridCol w:w="1375"/>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675"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37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5" w:hRule="atLeast"/>
          <w:jc w:val="center"/>
        </w:trPr>
        <w:tc>
          <w:tcPr>
            <w:tcW w:w="759"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675"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温州市龙湾区沙城街道七二村中心街289号房产五年租赁权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约90㎡</w:t>
            </w:r>
          </w:p>
        </w:tc>
        <w:tc>
          <w:tcPr>
            <w:tcW w:w="1545"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59400元</w:t>
            </w:r>
          </w:p>
        </w:tc>
        <w:tc>
          <w:tcPr>
            <w:tcW w:w="1375" w:type="dxa"/>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5万元     </w:t>
            </w:r>
          </w:p>
        </w:tc>
      </w:tr>
      <w:tr w14:paraId="265C2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759" w:type="dxa"/>
            <w:tcBorders>
              <w:top w:val="single" w:color="000000" w:sz="4" w:space="0"/>
              <w:left w:val="single" w:color="auto" w:sz="4" w:space="0"/>
              <w:right w:val="single" w:color="000000" w:sz="4" w:space="0"/>
            </w:tcBorders>
            <w:noWrap w:val="0"/>
            <w:vAlign w:val="center"/>
          </w:tcPr>
          <w:p w14:paraId="264F2EC4">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675" w:type="dxa"/>
            <w:tcBorders>
              <w:top w:val="single" w:color="000000" w:sz="4" w:space="0"/>
              <w:left w:val="single" w:color="000000" w:sz="4" w:space="0"/>
              <w:right w:val="single" w:color="000000" w:sz="4" w:space="0"/>
            </w:tcBorders>
            <w:noWrap w:val="0"/>
            <w:vAlign w:val="center"/>
          </w:tcPr>
          <w:p w14:paraId="2F15D2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温州市龙湾区沙城街道七二村中心街后幢14-20号房产五年租赁权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7DEAAA48">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约204㎡</w:t>
            </w:r>
          </w:p>
        </w:tc>
        <w:tc>
          <w:tcPr>
            <w:tcW w:w="1545" w:type="dxa"/>
            <w:tcBorders>
              <w:top w:val="single" w:color="000000" w:sz="4" w:space="0"/>
              <w:left w:val="single" w:color="000000" w:sz="4" w:space="0"/>
              <w:right w:val="single" w:color="000000" w:sz="4" w:space="0"/>
            </w:tcBorders>
            <w:noWrap w:val="0"/>
            <w:vAlign w:val="center"/>
          </w:tcPr>
          <w:p w14:paraId="0BAA8EE6">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100000元</w:t>
            </w:r>
          </w:p>
        </w:tc>
        <w:tc>
          <w:tcPr>
            <w:tcW w:w="1375" w:type="dxa"/>
            <w:tcBorders>
              <w:top w:val="single" w:color="000000" w:sz="4" w:space="0"/>
              <w:left w:val="nil"/>
              <w:right w:val="single" w:color="auto" w:sz="4" w:space="0"/>
            </w:tcBorders>
            <w:noWrap w:val="0"/>
            <w:vAlign w:val="center"/>
          </w:tcPr>
          <w:p w14:paraId="570831AC">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10万元</w:t>
            </w:r>
          </w:p>
        </w:tc>
      </w:tr>
      <w:tr w14:paraId="78C81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759" w:type="dxa"/>
            <w:tcBorders>
              <w:top w:val="single" w:color="000000" w:sz="4" w:space="0"/>
              <w:left w:val="single" w:color="auto" w:sz="4" w:space="0"/>
              <w:right w:val="single" w:color="000000" w:sz="4" w:space="0"/>
            </w:tcBorders>
            <w:noWrap w:val="0"/>
            <w:vAlign w:val="center"/>
          </w:tcPr>
          <w:p w14:paraId="1CE6E19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4675" w:type="dxa"/>
            <w:tcBorders>
              <w:top w:val="single" w:color="000000" w:sz="4" w:space="0"/>
              <w:left w:val="single" w:color="000000" w:sz="4" w:space="0"/>
              <w:right w:val="single" w:color="000000" w:sz="4" w:space="0"/>
            </w:tcBorders>
            <w:noWrap w:val="0"/>
            <w:vAlign w:val="center"/>
          </w:tcPr>
          <w:p w14:paraId="60054D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温州市龙湾区沙城街道七二村沙城大街838-840房产五年租赁权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42B2CA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约120㎡</w:t>
            </w:r>
          </w:p>
        </w:tc>
        <w:tc>
          <w:tcPr>
            <w:tcW w:w="1545" w:type="dxa"/>
            <w:tcBorders>
              <w:top w:val="single" w:color="000000" w:sz="4" w:space="0"/>
              <w:left w:val="single" w:color="000000" w:sz="4" w:space="0"/>
              <w:right w:val="single" w:color="000000" w:sz="4" w:space="0"/>
            </w:tcBorders>
            <w:noWrap w:val="0"/>
            <w:vAlign w:val="center"/>
          </w:tcPr>
          <w:p w14:paraId="5FEF0A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83500元</w:t>
            </w:r>
          </w:p>
        </w:tc>
        <w:tc>
          <w:tcPr>
            <w:tcW w:w="1375" w:type="dxa"/>
            <w:tcBorders>
              <w:top w:val="single" w:color="000000" w:sz="4" w:space="0"/>
              <w:left w:val="nil"/>
              <w:right w:val="single" w:color="auto" w:sz="4" w:space="0"/>
            </w:tcBorders>
            <w:noWrap w:val="0"/>
            <w:vAlign w:val="center"/>
          </w:tcPr>
          <w:p w14:paraId="24C4D10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8万元</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5"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注：1.租期5年，租金（不含税）一年一付，先付后用，第1-3年租金为竞价成交价，第4-5年租金在第3年租金基础上递增3%。</w:t>
            </w:r>
          </w:p>
          <w:p w14:paraId="3F15BC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kern w:val="0"/>
                <w:sz w:val="24"/>
                <w:szCs w:val="24"/>
                <w:lang w:val="en-US" w:eastAsia="zh-CN" w:bidi="ar"/>
              </w:rPr>
              <w:t>原承租人在同等条件下享有优先权，若原承租人未成功竞得则给予腾空期15天，不计租金及租期</w:t>
            </w:r>
            <w:r>
              <w:rPr>
                <w:rFonts w:hint="eastAsia" w:ascii="宋体" w:hAnsi="宋体" w:eastAsia="宋体" w:cs="宋体"/>
                <w:bCs/>
                <w:kern w:val="2"/>
                <w:sz w:val="24"/>
                <w:szCs w:val="24"/>
                <w:highlight w:val="none"/>
                <w:lang w:val="en-US" w:eastAsia="zh-CN" w:bidi="ar"/>
              </w:rPr>
              <w:t>。</w:t>
            </w:r>
          </w:p>
          <w:p w14:paraId="6804528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装修期</w:t>
            </w:r>
            <w:r>
              <w:rPr>
                <w:rFonts w:hint="eastAsia"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个月，不计租期及租金，原承租人不享有</w:t>
            </w:r>
            <w:r>
              <w:rPr>
                <w:rFonts w:hint="eastAsia" w:ascii="宋体" w:hAnsi="宋体" w:eastAsia="宋体" w:cs="宋体"/>
                <w:kern w:val="0"/>
                <w:sz w:val="24"/>
                <w:szCs w:val="24"/>
                <w:lang w:val="en-US" w:eastAsia="zh-CN" w:bidi="ar"/>
              </w:rPr>
              <w:t>。</w:t>
            </w:r>
          </w:p>
          <w:p w14:paraId="3EBDFBE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七二村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首年租金成交价的</w:t>
      </w:r>
      <w:r>
        <w:rPr>
          <w:rFonts w:hint="eastAsia" w:ascii="宋体" w:hAnsi="宋体" w:cs="Times New Roman"/>
          <w:color w:val="auto"/>
          <w:sz w:val="24"/>
          <w:szCs w:val="24"/>
          <w:highlight w:val="none"/>
          <w:u w:val="none"/>
          <w:lang w:val="en-US" w:eastAsia="zh-CN"/>
        </w:rPr>
        <w:t>1</w:t>
      </w:r>
      <w:r>
        <w:rPr>
          <w:rFonts w:hint="eastAsia" w:ascii="宋体" w:hAnsi="宋体" w:eastAsia="宋体" w:cs="Times New Roman"/>
          <w:color w:val="auto"/>
          <w:sz w:val="24"/>
          <w:szCs w:val="24"/>
          <w:highlight w:val="none"/>
          <w:u w:val="none"/>
          <w:lang w:val="en-US" w:eastAsia="zh-CN"/>
        </w:rPr>
        <w:t>0%（取整数）</w:t>
      </w:r>
      <w:r>
        <w:rPr>
          <w:rFonts w:hint="eastAsia" w:ascii="宋体" w:hAnsi="宋体" w:cs="Times New Roman"/>
          <w:color w:val="auto"/>
          <w:sz w:val="24"/>
          <w:szCs w:val="24"/>
          <w:highlight w:val="none"/>
          <w:u w:val="none"/>
          <w:lang w:val="en-US" w:eastAsia="zh-CN"/>
        </w:rPr>
        <w:t>/标的</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14</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温州市龙湾区沙城街道七二村集体经济组织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2026年9月8日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-3179445</wp:posOffset>
            </wp:positionV>
            <wp:extent cx="5271770" cy="5833110"/>
            <wp:effectExtent l="0" t="0" r="5080" b="15240"/>
            <wp:wrapNone/>
            <wp:docPr id="3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03536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2026年9月8日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2026年9月15日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温州市龙湾区沙城街道七二村集体经济组织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675"/>
        <w:gridCol w:w="1410"/>
        <w:gridCol w:w="1545"/>
        <w:gridCol w:w="1375"/>
      </w:tblGrid>
      <w:tr w14:paraId="617E9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62186BF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675" w:type="dxa"/>
            <w:tcBorders>
              <w:top w:val="single" w:color="000000" w:sz="4" w:space="0"/>
              <w:left w:val="single" w:color="000000" w:sz="4" w:space="0"/>
              <w:bottom w:val="single" w:color="000000" w:sz="4" w:space="0"/>
              <w:right w:val="single" w:color="000000" w:sz="4" w:space="0"/>
            </w:tcBorders>
            <w:noWrap w:val="0"/>
            <w:vAlign w:val="center"/>
          </w:tcPr>
          <w:p w14:paraId="2388A548">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00808C41">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45" w:type="dxa"/>
            <w:tcBorders>
              <w:top w:val="single" w:color="000000" w:sz="4" w:space="0"/>
              <w:left w:val="single" w:color="000000" w:sz="4" w:space="0"/>
              <w:bottom w:val="single" w:color="000000" w:sz="4" w:space="0"/>
              <w:right w:val="single" w:color="000000" w:sz="4" w:space="0"/>
            </w:tcBorders>
            <w:noWrap w:val="0"/>
            <w:vAlign w:val="center"/>
          </w:tcPr>
          <w:p w14:paraId="3E4E36A3">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5EED1FD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375" w:type="dxa"/>
            <w:tcBorders>
              <w:top w:val="single" w:color="000000" w:sz="4" w:space="0"/>
              <w:left w:val="nil"/>
              <w:bottom w:val="single" w:color="000000" w:sz="4" w:space="0"/>
              <w:right w:val="single" w:color="auto" w:sz="4" w:space="0"/>
            </w:tcBorders>
            <w:noWrap w:val="0"/>
            <w:vAlign w:val="center"/>
          </w:tcPr>
          <w:p w14:paraId="27B72FE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9ED9228">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111DD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5" w:hRule="atLeast"/>
          <w:jc w:val="center"/>
        </w:trPr>
        <w:tc>
          <w:tcPr>
            <w:tcW w:w="759" w:type="dxa"/>
            <w:tcBorders>
              <w:top w:val="single" w:color="000000" w:sz="4" w:space="0"/>
              <w:left w:val="single" w:color="auto" w:sz="4" w:space="0"/>
              <w:right w:val="single" w:color="000000" w:sz="4" w:space="0"/>
            </w:tcBorders>
            <w:noWrap w:val="0"/>
            <w:vAlign w:val="center"/>
          </w:tcPr>
          <w:p w14:paraId="56CE23B5">
            <w:pPr>
              <w:keepNext w:val="0"/>
              <w:keepLines w:val="0"/>
              <w:suppressLineNumbers w:val="0"/>
              <w:spacing w:before="0" w:beforeAutospacing="0" w:after="0" w:afterAutospacing="0" w:line="320" w:lineRule="exact"/>
              <w:ind w:left="0" w:leftChars="0" w:right="0" w:rightChars="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675" w:type="dxa"/>
            <w:tcBorders>
              <w:top w:val="single" w:color="000000" w:sz="4" w:space="0"/>
              <w:left w:val="single" w:color="000000" w:sz="4" w:space="0"/>
              <w:right w:val="single" w:color="000000" w:sz="4" w:space="0"/>
            </w:tcBorders>
            <w:noWrap w:val="0"/>
            <w:vAlign w:val="center"/>
          </w:tcPr>
          <w:p w14:paraId="7EF61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温州市龙湾区沙城街道七二村中心街289号房产五年租赁权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6CBD0B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约90㎡</w:t>
            </w:r>
          </w:p>
        </w:tc>
        <w:tc>
          <w:tcPr>
            <w:tcW w:w="1545" w:type="dxa"/>
            <w:tcBorders>
              <w:top w:val="single" w:color="000000" w:sz="4" w:space="0"/>
              <w:left w:val="single" w:color="000000" w:sz="4" w:space="0"/>
              <w:right w:val="single" w:color="000000" w:sz="4" w:space="0"/>
            </w:tcBorders>
            <w:noWrap w:val="0"/>
            <w:vAlign w:val="center"/>
          </w:tcPr>
          <w:p w14:paraId="073CF9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59400元</w:t>
            </w:r>
          </w:p>
        </w:tc>
        <w:tc>
          <w:tcPr>
            <w:tcW w:w="1375" w:type="dxa"/>
            <w:tcBorders>
              <w:top w:val="single" w:color="000000" w:sz="4" w:space="0"/>
              <w:left w:val="nil"/>
              <w:right w:val="single" w:color="auto" w:sz="4" w:space="0"/>
            </w:tcBorders>
            <w:noWrap w:val="0"/>
            <w:vAlign w:val="center"/>
          </w:tcPr>
          <w:p w14:paraId="530AFC9A">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5万元     </w:t>
            </w:r>
          </w:p>
        </w:tc>
      </w:tr>
      <w:tr w14:paraId="3E87A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759" w:type="dxa"/>
            <w:tcBorders>
              <w:top w:val="single" w:color="000000" w:sz="4" w:space="0"/>
              <w:left w:val="single" w:color="auto" w:sz="4" w:space="0"/>
              <w:right w:val="single" w:color="000000" w:sz="4" w:space="0"/>
            </w:tcBorders>
            <w:noWrap w:val="0"/>
            <w:vAlign w:val="center"/>
          </w:tcPr>
          <w:p w14:paraId="1D325412">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4675" w:type="dxa"/>
            <w:tcBorders>
              <w:top w:val="single" w:color="000000" w:sz="4" w:space="0"/>
              <w:left w:val="single" w:color="000000" w:sz="4" w:space="0"/>
              <w:right w:val="single" w:color="000000" w:sz="4" w:space="0"/>
            </w:tcBorders>
            <w:noWrap w:val="0"/>
            <w:vAlign w:val="center"/>
          </w:tcPr>
          <w:p w14:paraId="49E0F2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温州市龙湾区沙城街道七二村中心街后幢14-20号房产五年租赁权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35826A87">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约204㎡</w:t>
            </w:r>
          </w:p>
        </w:tc>
        <w:tc>
          <w:tcPr>
            <w:tcW w:w="1545" w:type="dxa"/>
            <w:tcBorders>
              <w:top w:val="single" w:color="000000" w:sz="4" w:space="0"/>
              <w:left w:val="single" w:color="000000" w:sz="4" w:space="0"/>
              <w:right w:val="single" w:color="000000" w:sz="4" w:space="0"/>
            </w:tcBorders>
            <w:noWrap w:val="0"/>
            <w:vAlign w:val="center"/>
          </w:tcPr>
          <w:p w14:paraId="10D812F9">
            <w:pPr>
              <w:keepNext w:val="0"/>
              <w:keepLines w:val="0"/>
              <w:widowControl/>
              <w:suppressLineNumbers w:val="0"/>
              <w:spacing w:before="0" w:beforeAutospacing="0" w:after="0" w:afterAutospacing="0"/>
              <w:ind w:left="0" w:right="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100000元</w:t>
            </w:r>
          </w:p>
        </w:tc>
        <w:tc>
          <w:tcPr>
            <w:tcW w:w="1375" w:type="dxa"/>
            <w:tcBorders>
              <w:top w:val="single" w:color="000000" w:sz="4" w:space="0"/>
              <w:left w:val="nil"/>
              <w:right w:val="single" w:color="auto" w:sz="4" w:space="0"/>
            </w:tcBorders>
            <w:noWrap w:val="0"/>
            <w:vAlign w:val="center"/>
          </w:tcPr>
          <w:p w14:paraId="2FB36ACD">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10万元</w:t>
            </w:r>
          </w:p>
        </w:tc>
      </w:tr>
      <w:tr w14:paraId="17008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759" w:type="dxa"/>
            <w:tcBorders>
              <w:top w:val="single" w:color="000000" w:sz="4" w:space="0"/>
              <w:left w:val="single" w:color="auto" w:sz="4" w:space="0"/>
              <w:right w:val="single" w:color="000000" w:sz="4" w:space="0"/>
            </w:tcBorders>
            <w:noWrap w:val="0"/>
            <w:vAlign w:val="center"/>
          </w:tcPr>
          <w:p w14:paraId="7AB0FE4C">
            <w:pPr>
              <w:keepNext w:val="0"/>
              <w:keepLines w:val="0"/>
              <w:suppressLineNumbers w:val="0"/>
              <w:spacing w:before="0" w:beforeAutospacing="0" w:after="0" w:afterAutospacing="0" w:line="320" w:lineRule="exact"/>
              <w:ind w:left="0" w:leftChars="0" w:right="0" w:rightChars="0"/>
              <w:jc w:val="center"/>
              <w:rPr>
                <w:rFonts w:hint="eastAsia"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4675" w:type="dxa"/>
            <w:tcBorders>
              <w:top w:val="single" w:color="000000" w:sz="4" w:space="0"/>
              <w:left w:val="single" w:color="000000" w:sz="4" w:space="0"/>
              <w:right w:val="single" w:color="000000" w:sz="4" w:space="0"/>
            </w:tcBorders>
            <w:noWrap w:val="0"/>
            <w:vAlign w:val="center"/>
          </w:tcPr>
          <w:p w14:paraId="282026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温州市龙湾区沙城街道七二村沙城大街838-840房产五年租赁权</w:t>
            </w:r>
          </w:p>
        </w:tc>
        <w:tc>
          <w:tcPr>
            <w:tcW w:w="1410" w:type="dxa"/>
            <w:tcBorders>
              <w:top w:val="single" w:color="000000" w:sz="4" w:space="0"/>
              <w:left w:val="single" w:color="000000" w:sz="4" w:space="0"/>
              <w:bottom w:val="single" w:color="000000" w:sz="4" w:space="0"/>
              <w:right w:val="single" w:color="000000" w:sz="4" w:space="0"/>
            </w:tcBorders>
            <w:noWrap w:val="0"/>
            <w:vAlign w:val="center"/>
          </w:tcPr>
          <w:p w14:paraId="6AD7BB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约120㎡</w:t>
            </w:r>
          </w:p>
        </w:tc>
        <w:tc>
          <w:tcPr>
            <w:tcW w:w="1545" w:type="dxa"/>
            <w:tcBorders>
              <w:top w:val="single" w:color="000000" w:sz="4" w:space="0"/>
              <w:left w:val="single" w:color="000000" w:sz="4" w:space="0"/>
              <w:right w:val="single" w:color="000000" w:sz="4" w:space="0"/>
            </w:tcBorders>
            <w:noWrap w:val="0"/>
            <w:vAlign w:val="center"/>
          </w:tcPr>
          <w:p w14:paraId="0DE42D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83500元</w:t>
            </w:r>
          </w:p>
        </w:tc>
        <w:tc>
          <w:tcPr>
            <w:tcW w:w="1375" w:type="dxa"/>
            <w:tcBorders>
              <w:top w:val="single" w:color="000000" w:sz="4" w:space="0"/>
              <w:left w:val="nil"/>
              <w:right w:val="single" w:color="auto" w:sz="4" w:space="0"/>
            </w:tcBorders>
            <w:noWrap w:val="0"/>
            <w:vAlign w:val="center"/>
          </w:tcPr>
          <w:p w14:paraId="2145A84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8万元</w:t>
            </w:r>
          </w:p>
        </w:tc>
      </w:tr>
      <w:tr w14:paraId="486A9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5"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0A22936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注：1.租期5年，租金（不含税）一年一付，先付后用，第1-3年租金为竞价成交价，第4-5年租金在第3年租金基础上递增3%。</w:t>
            </w:r>
          </w:p>
          <w:p w14:paraId="1E38F3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kern w:val="0"/>
                <w:sz w:val="24"/>
                <w:szCs w:val="24"/>
                <w:lang w:val="en-US" w:eastAsia="zh-CN" w:bidi="ar"/>
              </w:rPr>
              <w:t>原承租人在同等条件下享有优先权，若原承租人未成功竞得则给予腾空期15天，不计租金及租期</w:t>
            </w:r>
            <w:r>
              <w:rPr>
                <w:rFonts w:hint="eastAsia" w:ascii="宋体" w:hAnsi="宋体" w:eastAsia="宋体" w:cs="宋体"/>
                <w:bCs/>
                <w:kern w:val="2"/>
                <w:sz w:val="24"/>
                <w:szCs w:val="24"/>
                <w:highlight w:val="none"/>
                <w:lang w:val="en-US" w:eastAsia="zh-CN" w:bidi="ar"/>
              </w:rPr>
              <w:t>。</w:t>
            </w:r>
          </w:p>
          <w:p w14:paraId="5F5E771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装修期</w:t>
            </w:r>
            <w:r>
              <w:rPr>
                <w:rFonts w:hint="eastAsia"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个月，不计租期及租金，原承租人不享有</w:t>
            </w:r>
            <w:r>
              <w:rPr>
                <w:rFonts w:hint="eastAsia" w:ascii="宋体" w:hAnsi="宋体" w:eastAsia="宋体" w:cs="宋体"/>
                <w:kern w:val="0"/>
                <w:sz w:val="24"/>
                <w:szCs w:val="24"/>
                <w:lang w:val="en-US" w:eastAsia="zh-CN" w:bidi="ar"/>
              </w:rPr>
              <w:t>。</w:t>
            </w:r>
          </w:p>
          <w:p w14:paraId="0A6DB71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-4219575</wp:posOffset>
            </wp:positionV>
            <wp:extent cx="5271770" cy="5833110"/>
            <wp:effectExtent l="0" t="0" r="5080" b="15240"/>
            <wp:wrapNone/>
            <wp:docPr id="3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竞得人应在接到出租人通知后与出租人签订《租赁合同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0A2451A4">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sz w:val="24"/>
          <w:u w:val="none"/>
          <w:lang w:val="en-US" w:eastAsia="zh-CN"/>
        </w:rPr>
        <w:t>4、原承租人在同等</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-4965700</wp:posOffset>
            </wp:positionV>
            <wp:extent cx="5271770" cy="5833110"/>
            <wp:effectExtent l="0" t="0" r="5080" b="15240"/>
            <wp:wrapNone/>
            <wp:docPr id="3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条件下享有优先权</w:t>
      </w:r>
      <w:r>
        <w:rPr>
          <w:rFonts w:hint="eastAsia" w:ascii="宋体" w:hAnsi="宋体" w:cs="宋体"/>
          <w:b w:val="0"/>
          <w:bCs w:val="0"/>
          <w:color w:val="auto"/>
          <w:sz w:val="24"/>
          <w:u w:val="none"/>
          <w:lang w:val="en-US" w:eastAsia="zh-CN"/>
        </w:rPr>
        <w:t>，1号及2号标的</w:t>
      </w:r>
      <w:r>
        <w:rPr>
          <w:rFonts w:hint="eastAsia" w:ascii="宋体" w:hAnsi="宋体" w:eastAsia="宋体" w:cs="宋体"/>
          <w:b w:val="0"/>
          <w:bCs w:val="0"/>
          <w:color w:val="auto"/>
          <w:sz w:val="24"/>
          <w:u w:val="none"/>
          <w:lang w:val="en-US" w:eastAsia="zh-CN"/>
        </w:rPr>
        <w:t>原承租人租赁合同于2026年8月30日到期</w:t>
      </w:r>
      <w:r>
        <w:rPr>
          <w:rFonts w:hint="eastAsia" w:ascii="宋体" w:hAnsi="宋体" w:cs="宋体"/>
          <w:b w:val="0"/>
          <w:bCs w:val="0"/>
          <w:color w:val="auto"/>
          <w:sz w:val="24"/>
          <w:u w:val="none"/>
          <w:lang w:val="en-US" w:eastAsia="zh-CN"/>
        </w:rPr>
        <w:t>，3号标的</w:t>
      </w:r>
      <w:r>
        <w:rPr>
          <w:rFonts w:hint="eastAsia" w:ascii="宋体" w:hAnsi="宋体" w:eastAsia="宋体" w:cs="宋体"/>
          <w:b w:val="0"/>
          <w:bCs w:val="0"/>
          <w:color w:val="auto"/>
          <w:sz w:val="24"/>
          <w:u w:val="none"/>
          <w:lang w:val="en-US" w:eastAsia="zh-CN"/>
        </w:rPr>
        <w:t>原承租人租赁合同于2026年9月24日到期</w:t>
      </w:r>
      <w:r>
        <w:rPr>
          <w:rFonts w:hint="eastAsia" w:ascii="宋体" w:hAnsi="宋体" w:cs="宋体"/>
          <w:b w:val="0"/>
          <w:bCs w:val="0"/>
          <w:color w:val="auto"/>
          <w:sz w:val="24"/>
          <w:u w:val="none"/>
          <w:lang w:val="en-US" w:eastAsia="zh-CN"/>
        </w:rPr>
        <w:t>若原承租人成功竞得，则租期顺延。若原承租人未成功竞得的，须于15天内腾空，腾空期不计租金及租期。</w:t>
      </w:r>
    </w:p>
    <w:p w14:paraId="0E83254F">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cs="宋体"/>
          <w:b w:val="0"/>
          <w:bCs w:val="0"/>
          <w:color w:val="auto"/>
          <w:sz w:val="24"/>
          <w:u w:val="none"/>
          <w:lang w:val="en-US" w:eastAsia="zh-CN"/>
        </w:rPr>
        <w:t>5、</w:t>
      </w:r>
      <w:r>
        <w:rPr>
          <w:rFonts w:hint="default" w:ascii="宋体" w:hAnsi="宋体" w:eastAsia="宋体" w:cs="宋体"/>
          <w:b w:val="0"/>
          <w:bCs w:val="0"/>
          <w:color w:val="auto"/>
          <w:sz w:val="24"/>
          <w:u w:val="none"/>
          <w:lang w:val="en-US" w:eastAsia="zh-CN"/>
        </w:rPr>
        <w:t>标的物目前处于租赁使用中，竞得人应理解出租方交付时间具有不确定性。正式租赁合同签约时间以出租方通知时间为准。竞得人已知悉并明确同意：</w:t>
      </w:r>
      <w:r>
        <w:rPr>
          <w:rFonts w:hint="eastAsia" w:ascii="宋体" w:hAnsi="宋体" w:cs="宋体"/>
          <w:b w:val="0"/>
          <w:bCs w:val="0"/>
          <w:color w:val="auto"/>
          <w:sz w:val="24"/>
          <w:u w:val="none"/>
          <w:lang w:val="en-US" w:eastAsia="zh-CN"/>
        </w:rPr>
        <w:t>1号及2号标的2026年9月30日</w:t>
      </w:r>
      <w:r>
        <w:rPr>
          <w:rFonts w:hint="default" w:ascii="宋体" w:hAnsi="宋体" w:eastAsia="宋体" w:cs="宋体"/>
          <w:b w:val="0"/>
          <w:bCs w:val="0"/>
          <w:color w:val="auto"/>
          <w:sz w:val="24"/>
          <w:u w:val="none"/>
          <w:lang w:val="en-US" w:eastAsia="zh-CN"/>
        </w:rPr>
        <w:t>后</w:t>
      </w:r>
      <w:r>
        <w:rPr>
          <w:rFonts w:hint="eastAsia" w:ascii="宋体" w:hAnsi="宋体" w:cs="宋体"/>
          <w:b w:val="0"/>
          <w:bCs w:val="0"/>
          <w:color w:val="auto"/>
          <w:sz w:val="24"/>
          <w:u w:val="none"/>
          <w:lang w:val="en-US" w:eastAsia="zh-CN"/>
        </w:rPr>
        <w:t>，3号标的2026年10月9日后，</w:t>
      </w:r>
      <w:r>
        <w:rPr>
          <w:rFonts w:hint="default" w:ascii="宋体" w:hAnsi="宋体" w:eastAsia="宋体" w:cs="宋体"/>
          <w:b w:val="0"/>
          <w:bCs w:val="0"/>
          <w:color w:val="auto"/>
          <w:sz w:val="24"/>
          <w:u w:val="none"/>
          <w:lang w:val="en-US" w:eastAsia="zh-CN"/>
        </w:rPr>
        <w:t>若原承租人未退场导致出租方不能交付标的物的，竞得人应在出租方要求的期限内按以下任一方案进行选择并回复：（1）双方可保留本次交易直至出租方交付标的物后，再行签订租赁合同；（2）竞得人可提出终止本次交易，出租方所收款项全部（含首期租金、竞价保证金、履约保证金等）无息退回，除此之外，双方互不承担违约责任，且竞得人不以任何理由再向出租方主张任何补偿或赔偿。如竞得人逾期向出租方回复的，则视为终止交易，出租方有权另行处置该标的物。</w:t>
      </w:r>
    </w:p>
    <w:p w14:paraId="1851C014">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cs="宋体"/>
          <w:b w:val="0"/>
          <w:bCs w:val="0"/>
          <w:color w:val="auto"/>
          <w:sz w:val="24"/>
          <w:u w:val="none"/>
          <w:lang w:val="en-US" w:eastAsia="zh-CN"/>
        </w:rPr>
        <w:t>1号及2号标的2026年9月30</w:t>
      </w:r>
      <w:bookmarkStart w:id="0" w:name="_GoBack"/>
      <w:bookmarkEnd w:id="0"/>
      <w:r>
        <w:rPr>
          <w:rFonts w:hint="eastAsia" w:ascii="宋体" w:hAnsi="宋体" w:cs="宋体"/>
          <w:b w:val="0"/>
          <w:bCs w:val="0"/>
          <w:color w:val="auto"/>
          <w:sz w:val="24"/>
          <w:u w:val="none"/>
          <w:lang w:val="en-US" w:eastAsia="zh-CN"/>
        </w:rPr>
        <w:t>日前</w:t>
      </w:r>
      <w:r>
        <w:rPr>
          <w:rFonts w:hint="default" w:ascii="宋体" w:hAnsi="宋体" w:eastAsia="宋体" w:cs="宋体"/>
          <w:b w:val="0"/>
          <w:bCs w:val="0"/>
          <w:color w:val="auto"/>
          <w:sz w:val="24"/>
          <w:u w:val="none"/>
          <w:lang w:val="en-US" w:eastAsia="zh-CN"/>
        </w:rPr>
        <w:t>（含当日），</w:t>
      </w:r>
      <w:r>
        <w:rPr>
          <w:rFonts w:hint="eastAsia" w:ascii="宋体" w:hAnsi="宋体" w:cs="宋体"/>
          <w:b w:val="0"/>
          <w:bCs w:val="0"/>
          <w:color w:val="auto"/>
          <w:sz w:val="24"/>
          <w:u w:val="none"/>
          <w:lang w:val="en-US" w:eastAsia="zh-CN"/>
        </w:rPr>
        <w:t>3号标的2026年10月9日前</w:t>
      </w:r>
      <w:r>
        <w:rPr>
          <w:rFonts w:hint="default" w:ascii="宋体" w:hAnsi="宋体" w:eastAsia="宋体" w:cs="宋体"/>
          <w:b w:val="0"/>
          <w:bCs w:val="0"/>
          <w:color w:val="auto"/>
          <w:sz w:val="24"/>
          <w:u w:val="none"/>
          <w:lang w:val="en-US" w:eastAsia="zh-CN"/>
        </w:rPr>
        <w:t>（含当日）</w:t>
      </w:r>
      <w:r>
        <w:rPr>
          <w:rFonts w:hint="eastAsia" w:ascii="宋体" w:hAnsi="宋体" w:cs="宋体"/>
          <w:b w:val="0"/>
          <w:bCs w:val="0"/>
          <w:color w:val="auto"/>
          <w:sz w:val="24"/>
          <w:u w:val="none"/>
          <w:lang w:val="en-US" w:eastAsia="zh-CN"/>
        </w:rPr>
        <w:t>，</w:t>
      </w:r>
      <w:r>
        <w:rPr>
          <w:rFonts w:hint="default" w:ascii="宋体" w:hAnsi="宋体" w:eastAsia="宋体" w:cs="宋体"/>
          <w:b w:val="0"/>
          <w:bCs w:val="0"/>
          <w:color w:val="auto"/>
          <w:sz w:val="24"/>
          <w:u w:val="none"/>
          <w:lang w:val="en-US" w:eastAsia="zh-CN"/>
        </w:rPr>
        <w:t>出租方已完成腾空，可以交付标的物的，竞得人应在出租方要求的期限内签署租赁合同。若竞得人未按约定与出租方签署租赁合同的，则视为竞得人违约，承担违约责任，除竞价保证金不予退还外，标的再行竞价的，再行竞价的价款低于原竞价价款的，原竞得人应当补足差额，并赔偿由此造成的经济损失。</w:t>
      </w:r>
    </w:p>
    <w:p w14:paraId="6DBED151">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2" w:firstLineChars="200"/>
        <w:jc w:val="left"/>
        <w:textAlignment w:val="auto"/>
        <w:rPr>
          <w:rFonts w:hint="default" w:ascii="宋体" w:hAnsi="宋体" w:eastAsia="宋体" w:cs="宋体"/>
          <w:b w:val="0"/>
          <w:bCs w:val="0"/>
          <w:color w:val="auto"/>
          <w:sz w:val="24"/>
          <w:u w:val="none"/>
          <w:lang w:val="en-US" w:eastAsia="zh-CN"/>
        </w:rPr>
      </w:pPr>
      <w:r>
        <w:rPr>
          <w:rFonts w:hint="default" w:ascii="宋体" w:hAnsi="宋体" w:eastAsia="宋体" w:cs="宋体"/>
          <w:b/>
          <w:bCs/>
          <w:color w:val="auto"/>
          <w:sz w:val="24"/>
          <w:u w:val="single"/>
          <w:lang w:val="en-US" w:eastAsia="zh-CN"/>
        </w:rPr>
        <w:t>无论标的物是否顺利交付，竞得人均需自行承担因本次交易所产生的费用，包括但不限于交易服务费。</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-4911725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C6019DE">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248920</wp:posOffset>
                </wp:positionH>
                <wp:positionV relativeFrom="paragraph">
                  <wp:posOffset>270510</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9.6pt;margin-top:21.3pt;height:78.3pt;width:461.4pt;z-index:251669504;mso-width-relative:page;mso-height-relative:page;" fillcolor="#FFFFFF" filled="t" stroked="t" coordsize="21600,21600" o:gfxdata="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wgqll1wAAAAkBAAAPAAAAAAAAAAEAIAAAACIAAABkcnMvZG93bnJldi54bWxQ&#10;SwECFAAUAAAACACHTuJA+iuNyDECAAB4BAAADgAAAAAAAAABACAAAAAm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2026年9月8日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rPr>
          <w:rFonts w:hint="eastAsia" w:ascii="宋体" w:hAnsi="宋体"/>
          <w:b/>
          <w:color w:val="auto"/>
          <w:sz w:val="24"/>
        </w:rPr>
      </w:pP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-1297305</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2026年9月15日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租期5年，租金（不含税）一年一付，先付后用，第1-3年租金为竞价成交价，第4-5年租金在第3年租金基础上递增3%</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22</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具体租赁事项以竞得人与温州市龙湾区沙城街道七二村集体经济组织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温州市龙湾区沙城街道七二村集体经济组织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3CD9160B">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 </w:t>
      </w:r>
      <w:r>
        <w:rPr>
          <w:rFonts w:hint="eastAsia" w:ascii="宋体" w:hAnsi="宋体" w:cs="宋体"/>
          <w:color w:val="auto"/>
          <w:szCs w:val="24"/>
          <w:highlight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283A8B7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46EA0DF3">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C04383F">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BD065B">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租期5年，租金（不含税）一年一付，先付后用，第1-3年租金为竞价成交价，第4-5年租金在第3年租金基础上递增3%</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E836D1"/>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8838D8"/>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51F95"/>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976161"/>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87722"/>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A24034"/>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5938BC"/>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AF6E53"/>
    <w:rsid w:val="4AB30D5B"/>
    <w:rsid w:val="4AB32D6A"/>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481FEA"/>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35E52"/>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A48B3"/>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883F6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2018FB"/>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510A7"/>
    <w:rsid w:val="68C63810"/>
    <w:rsid w:val="68E048D2"/>
    <w:rsid w:val="68EA39A3"/>
    <w:rsid w:val="68EB3277"/>
    <w:rsid w:val="68FB170C"/>
    <w:rsid w:val="690F1369"/>
    <w:rsid w:val="693B7D5A"/>
    <w:rsid w:val="693C11ED"/>
    <w:rsid w:val="69502FBA"/>
    <w:rsid w:val="69677233"/>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41DA4"/>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096F5F"/>
    <w:rsid w:val="754948E1"/>
    <w:rsid w:val="756643B1"/>
    <w:rsid w:val="757D46F3"/>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031AB5"/>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86B03"/>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19</Pages>
  <Words>3951</Words>
  <Characters>4163</Characters>
  <Lines>74</Lines>
  <Paragraphs>20</Paragraphs>
  <TotalTime>17</TotalTime>
  <ScaleCrop>false</ScaleCrop>
  <LinksUpToDate>false</LinksUpToDate>
  <CharactersWithSpaces>4497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2026-09-07T03:19:14Z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