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p>
    <w:p w14:paraId="398B9BB8">
      <w:pPr>
        <w:jc w:val="center"/>
        <w:rPr>
          <w:rFonts w:hint="eastAsia" w:ascii="宋体" w:hAnsi="宋体"/>
          <w:b/>
          <w:color w:val="auto"/>
          <w:sz w:val="48"/>
        </w:rPr>
      </w:pPr>
    </w:p>
    <w:p w14:paraId="4E37A6F7">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4D3BFD3">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温州龙湾区天河街道郑岙村原村委会房产及配套场地五年</w:t>
      </w: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6112163A">
      <w:pPr>
        <w:jc w:val="center"/>
        <w:rPr>
          <w:rFonts w:hint="eastAsia" w:ascii="宋体" w:hAnsi="宋体"/>
          <w:b/>
          <w:bCs/>
          <w:color w:val="auto"/>
          <w:sz w:val="44"/>
          <w:szCs w:val="44"/>
          <w:lang w:val="en-US" w:eastAsia="zh-CN"/>
        </w:rPr>
      </w:pPr>
    </w:p>
    <w:p w14:paraId="304EF0E4">
      <w:pPr>
        <w:jc w:val="center"/>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2026年9月9日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47A55F88">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温州龙湾区天河街道郑岙村原村委会房产及配套场地五年</w:t>
      </w: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租赁权竞价公告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351155</wp:posOffset>
            </wp:positionH>
            <wp:positionV relativeFrom="paragraph">
              <wp:posOffset>179070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2026年9月16日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2026年9月17日上午10时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温州龙湾区天河街道郑岙村原村委会房产及配套场地五年租赁权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490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3910"/>
        <w:gridCol w:w="1245"/>
        <w:gridCol w:w="1350"/>
        <w:gridCol w:w="1335"/>
        <w:gridCol w:w="1165"/>
      </w:tblGrid>
      <w:tr w14:paraId="46A04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910"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2595" w:type="dxa"/>
            <w:gridSpan w:val="2"/>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5AB8138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7D654AE0">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165" w:type="dxa"/>
            <w:tcBorders>
              <w:top w:val="single" w:color="000000" w:sz="4" w:space="0"/>
              <w:left w:val="nil"/>
              <w:bottom w:val="single" w:color="000000" w:sz="4" w:space="0"/>
              <w:right w:val="single" w:color="auto" w:sz="4" w:space="0"/>
            </w:tcBorders>
            <w:noWrap w:val="0"/>
            <w:vAlign w:val="center"/>
          </w:tcPr>
          <w:p w14:paraId="0944927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000CC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759" w:type="dxa"/>
            <w:vMerge w:val="restart"/>
            <w:tcBorders>
              <w:top w:val="single" w:color="000000" w:sz="4" w:space="0"/>
              <w:left w:val="single" w:color="auto" w:sz="4" w:space="0"/>
              <w:right w:val="single" w:color="000000" w:sz="4" w:space="0"/>
            </w:tcBorders>
            <w:noWrap w:val="0"/>
            <w:vAlign w:val="center"/>
          </w:tcPr>
          <w:p w14:paraId="53A9C360">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3910" w:type="dxa"/>
            <w:vMerge w:val="restart"/>
            <w:tcBorders>
              <w:top w:val="single" w:color="000000" w:sz="4" w:space="0"/>
              <w:left w:val="single" w:color="000000" w:sz="4" w:space="0"/>
              <w:right w:val="single" w:color="000000" w:sz="4" w:space="0"/>
            </w:tcBorders>
            <w:noWrap w:val="0"/>
            <w:vAlign w:val="center"/>
          </w:tcPr>
          <w:p w14:paraId="5C1D9D59">
            <w:pPr>
              <w:spacing w:line="300" w:lineRule="exact"/>
              <w:jc w:val="center"/>
              <w:rPr>
                <w:rFonts w:hint="eastAsia" w:ascii="宋体" w:hAnsi="宋体" w:eastAsia="宋体" w:cs="宋体"/>
                <w:b w:val="0"/>
                <w:bCs w:val="0"/>
                <w:color w:val="auto"/>
                <w:kern w:val="2"/>
                <w:sz w:val="24"/>
                <w:szCs w:val="24"/>
                <w:highlight w:val="none"/>
                <w:u w:val="none"/>
                <w:lang w:val="en-US" w:eastAsia="zh-CN" w:bidi="ar-SA"/>
              </w:rPr>
            </w:pPr>
            <w:r>
              <w:rPr>
                <w:rFonts w:hint="default" w:ascii="宋体" w:hAnsi="宋体" w:eastAsia="宋体" w:cs="宋体"/>
                <w:bCs/>
                <w:kern w:val="2"/>
                <w:sz w:val="24"/>
                <w:szCs w:val="24"/>
                <w:highlight w:val="none"/>
                <w:u w:val="none"/>
                <w:lang w:val="en-US" w:eastAsia="zh-CN" w:bidi="ar-SA"/>
              </w:rPr>
              <w:t>温州龙湾区天河街道郑岙村原村委会房产及配套场地五年租赁权</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6DC3E292">
            <w:pPr>
              <w:spacing w:line="300" w:lineRule="exact"/>
              <w:jc w:val="center"/>
              <w:rPr>
                <w:rFonts w:hint="eastAsia" w:ascii="宋体" w:hAnsi="宋体" w:eastAsia="宋体" w:cs="宋体"/>
                <w:b w:val="0"/>
                <w:bCs w:val="0"/>
                <w:sz w:val="24"/>
                <w:szCs w:val="24"/>
              </w:rPr>
            </w:pPr>
            <w:r>
              <w:rPr>
                <w:rFonts w:hint="eastAsia" w:ascii="宋体" w:hAnsi="宋体" w:eastAsia="宋体" w:cs="宋体"/>
                <w:bCs/>
                <w:kern w:val="2"/>
                <w:sz w:val="24"/>
                <w:szCs w:val="24"/>
                <w:highlight w:val="none"/>
                <w:u w:val="none"/>
                <w:lang w:val="en-US" w:eastAsia="zh-CN" w:bidi="ar-SA"/>
              </w:rPr>
              <w:t xml:space="preserve">房产    </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A2BFEC4">
            <w:pPr>
              <w:spacing w:line="300" w:lineRule="exact"/>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kern w:val="2"/>
                <w:sz w:val="24"/>
                <w:szCs w:val="24"/>
                <w:highlight w:val="none"/>
                <w:u w:val="none"/>
                <w:lang w:val="en-US" w:eastAsia="zh-CN" w:bidi="ar-SA"/>
              </w:rPr>
              <w:t>约390</w:t>
            </w:r>
            <w:r>
              <w:rPr>
                <w:rFonts w:hint="eastAsia" w:ascii="宋体" w:hAnsi="宋体" w:eastAsia="宋体" w:cs="宋体"/>
                <w:kern w:val="0"/>
                <w:sz w:val="24"/>
                <w:szCs w:val="24"/>
                <w:lang w:val="en-US" w:eastAsia="zh-CN" w:bidi="ar"/>
              </w:rPr>
              <w:t>㎡</w:t>
            </w:r>
          </w:p>
        </w:tc>
        <w:tc>
          <w:tcPr>
            <w:tcW w:w="1335" w:type="dxa"/>
            <w:vMerge w:val="restart"/>
            <w:tcBorders>
              <w:top w:val="single" w:color="000000" w:sz="4" w:space="0"/>
              <w:left w:val="single" w:color="000000" w:sz="4" w:space="0"/>
              <w:right w:val="single" w:color="000000" w:sz="4" w:space="0"/>
            </w:tcBorders>
            <w:noWrap w:val="0"/>
            <w:vAlign w:val="center"/>
          </w:tcPr>
          <w:p w14:paraId="1C9584FA">
            <w:pPr>
              <w:spacing w:line="300" w:lineRule="exact"/>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87470元      </w:t>
            </w:r>
          </w:p>
        </w:tc>
        <w:tc>
          <w:tcPr>
            <w:tcW w:w="1165" w:type="dxa"/>
            <w:vMerge w:val="restart"/>
            <w:tcBorders>
              <w:top w:val="single" w:color="000000" w:sz="4" w:space="0"/>
              <w:left w:val="nil"/>
              <w:right w:val="single" w:color="auto" w:sz="4" w:space="0"/>
            </w:tcBorders>
            <w:noWrap w:val="0"/>
            <w:vAlign w:val="center"/>
          </w:tcPr>
          <w:p w14:paraId="63692BB7">
            <w:pPr>
              <w:spacing w:line="300" w:lineRule="exact"/>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8万元     </w:t>
            </w:r>
          </w:p>
        </w:tc>
      </w:tr>
      <w:tr w14:paraId="03426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759" w:type="dxa"/>
            <w:vMerge w:val="continue"/>
            <w:tcBorders>
              <w:left w:val="single" w:color="auto" w:sz="4" w:space="0"/>
              <w:right w:val="single" w:color="000000" w:sz="4" w:space="0"/>
            </w:tcBorders>
            <w:noWrap w:val="0"/>
            <w:vAlign w:val="center"/>
          </w:tcPr>
          <w:p w14:paraId="20DE73E2">
            <w:pPr>
              <w:keepNext w:val="0"/>
              <w:keepLines w:val="0"/>
              <w:widowControl/>
              <w:suppressLineNumbers w:val="0"/>
              <w:spacing w:before="0" w:beforeAutospacing="0" w:after="0" w:afterAutospacing="0"/>
              <w:ind w:left="0" w:right="0"/>
              <w:jc w:val="center"/>
              <w:textAlignment w:val="center"/>
            </w:pPr>
          </w:p>
        </w:tc>
        <w:tc>
          <w:tcPr>
            <w:tcW w:w="3910" w:type="dxa"/>
            <w:vMerge w:val="continue"/>
            <w:tcBorders>
              <w:left w:val="single" w:color="000000" w:sz="4" w:space="0"/>
              <w:right w:val="single" w:color="000000" w:sz="4" w:space="0"/>
            </w:tcBorders>
            <w:noWrap w:val="0"/>
            <w:vAlign w:val="center"/>
          </w:tcPr>
          <w:p w14:paraId="0A6250BD">
            <w:pPr>
              <w:spacing w:line="300" w:lineRule="exact"/>
              <w:jc w:val="center"/>
            </w:pP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28B2C82E">
            <w:pPr>
              <w:spacing w:line="300" w:lineRule="exact"/>
              <w:jc w:val="center"/>
            </w:pPr>
            <w:r>
              <w:rPr>
                <w:rFonts w:hint="eastAsia" w:ascii="宋体" w:hAnsi="宋体" w:eastAsia="宋体" w:cs="宋体"/>
                <w:sz w:val="24"/>
                <w:szCs w:val="24"/>
                <w:lang w:val="en-US" w:eastAsia="zh-CN"/>
              </w:rPr>
              <w:t>配套用地</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6ABCD5A">
            <w:pPr>
              <w:spacing w:line="300" w:lineRule="exact"/>
              <w:jc w:val="center"/>
            </w:pPr>
            <w:r>
              <w:rPr>
                <w:rFonts w:hint="eastAsia" w:ascii="宋体" w:hAnsi="宋体" w:eastAsia="宋体" w:cs="宋体"/>
                <w:sz w:val="24"/>
                <w:szCs w:val="24"/>
                <w:lang w:val="en-US" w:eastAsia="zh-CN"/>
              </w:rPr>
              <w:t>约1.01亩</w:t>
            </w:r>
          </w:p>
        </w:tc>
        <w:tc>
          <w:tcPr>
            <w:tcW w:w="1335" w:type="dxa"/>
            <w:vMerge w:val="continue"/>
            <w:tcBorders>
              <w:left w:val="single" w:color="000000" w:sz="4" w:space="0"/>
              <w:right w:val="single" w:color="000000" w:sz="4" w:space="0"/>
            </w:tcBorders>
            <w:noWrap w:val="0"/>
            <w:vAlign w:val="center"/>
          </w:tcPr>
          <w:p w14:paraId="59802ED6">
            <w:pPr>
              <w:keepNext w:val="0"/>
              <w:keepLines w:val="0"/>
              <w:widowControl/>
              <w:suppressLineNumbers w:val="0"/>
              <w:spacing w:before="0" w:beforeAutospacing="0" w:after="0" w:afterAutospacing="0"/>
              <w:ind w:left="0" w:right="0"/>
              <w:jc w:val="center"/>
              <w:textAlignment w:val="center"/>
            </w:pPr>
          </w:p>
        </w:tc>
        <w:tc>
          <w:tcPr>
            <w:tcW w:w="1165" w:type="dxa"/>
            <w:vMerge w:val="continue"/>
            <w:tcBorders>
              <w:left w:val="nil"/>
              <w:right w:val="single" w:color="auto" w:sz="4" w:space="0"/>
            </w:tcBorders>
            <w:noWrap w:val="0"/>
            <w:vAlign w:val="center"/>
          </w:tcPr>
          <w:p w14:paraId="24696EA2">
            <w:pPr>
              <w:keepNext w:val="0"/>
              <w:keepLines w:val="0"/>
              <w:widowControl/>
              <w:suppressLineNumbers w:val="0"/>
              <w:spacing w:before="0" w:beforeAutospacing="0" w:after="0" w:afterAutospacing="0"/>
              <w:ind w:left="0" w:right="0"/>
              <w:jc w:val="center"/>
              <w:textAlignment w:val="center"/>
            </w:pPr>
          </w:p>
        </w:tc>
      </w:tr>
      <w:tr w14:paraId="25EC8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5" w:hRule="atLeast"/>
          <w:jc w:val="center"/>
        </w:trPr>
        <w:tc>
          <w:tcPr>
            <w:tcW w:w="9764" w:type="dxa"/>
            <w:gridSpan w:val="6"/>
            <w:tcBorders>
              <w:top w:val="single" w:color="000000" w:sz="4" w:space="0"/>
              <w:left w:val="single" w:color="auto" w:sz="4" w:space="0"/>
              <w:bottom w:val="single" w:color="000000" w:sz="4" w:space="0"/>
              <w:right w:val="single" w:color="auto" w:sz="4" w:space="0"/>
            </w:tcBorders>
            <w:noWrap w:val="0"/>
            <w:vAlign w:val="center"/>
          </w:tcPr>
          <w:p w14:paraId="27660BAB">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注：1.租期5年，租金（不含税）一年一付，先付后用，第1-3年租金为竞价成交价，第4-5年租金在第3年租金基础上递增3%。</w:t>
            </w:r>
          </w:p>
          <w:p w14:paraId="3F15BCA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lang w:val="en-US" w:eastAsia="zh-CN" w:bidi="ar"/>
              </w:rPr>
              <w:t>2.</w:t>
            </w:r>
            <w:r>
              <w:rPr>
                <w:rFonts w:hint="default" w:ascii="宋体" w:hAnsi="宋体" w:eastAsia="宋体" w:cs="宋体"/>
                <w:kern w:val="0"/>
                <w:sz w:val="24"/>
                <w:szCs w:val="24"/>
                <w:lang w:val="en-US" w:eastAsia="zh-CN" w:bidi="ar"/>
              </w:rPr>
              <w:t>装修期3个月，不计租金及租期</w:t>
            </w:r>
            <w:r>
              <w:rPr>
                <w:rFonts w:hint="eastAsia" w:ascii="宋体" w:hAnsi="宋体" w:eastAsia="宋体" w:cs="宋体"/>
                <w:bCs/>
                <w:kern w:val="2"/>
                <w:sz w:val="24"/>
                <w:szCs w:val="24"/>
                <w:highlight w:val="none"/>
                <w:lang w:val="en-US" w:eastAsia="zh-CN" w:bidi="ar"/>
              </w:rPr>
              <w:t>。</w:t>
            </w:r>
          </w:p>
          <w:p w14:paraId="6804528C">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kern w:val="0"/>
                <w:sz w:val="24"/>
                <w:szCs w:val="24"/>
                <w:lang w:val="en-US" w:eastAsia="zh-CN" w:bidi="ar"/>
              </w:rPr>
            </w:pPr>
            <w:r>
              <w:rPr>
                <w:rFonts w:hint="default" w:ascii="宋体" w:hAnsi="宋体" w:eastAsia="宋体" w:cs="宋体"/>
                <w:bCs/>
                <w:kern w:val="2"/>
                <w:sz w:val="24"/>
                <w:szCs w:val="24"/>
                <w:lang w:val="en-US" w:eastAsia="zh-CN" w:bidi="ar"/>
              </w:rPr>
              <w:t>3.</w:t>
            </w:r>
            <w:r>
              <w:rPr>
                <w:rFonts w:hint="eastAsia" w:ascii="宋体" w:hAnsi="宋体" w:eastAsia="宋体" w:cs="宋体"/>
                <w:kern w:val="0"/>
                <w:sz w:val="24"/>
                <w:szCs w:val="24"/>
                <w:lang w:val="en-US" w:eastAsia="zh-CN" w:bidi="ar"/>
              </w:rPr>
              <w:t>经营业态：政府允许的餐饮行业。</w:t>
            </w:r>
            <w:r>
              <w:rPr>
                <w:rFonts w:hint="eastAsia" w:ascii="宋体" w:hAnsi="宋体" w:cs="宋体"/>
                <w:kern w:val="0"/>
                <w:sz w:val="24"/>
                <w:szCs w:val="24"/>
                <w:lang w:val="en-US" w:eastAsia="zh-CN" w:bidi="ar"/>
              </w:rPr>
              <w:t>配套场地</w:t>
            </w:r>
            <w:r>
              <w:rPr>
                <w:rFonts w:hint="eastAsia" w:ascii="宋体" w:hAnsi="宋体" w:eastAsia="宋体" w:cs="宋体"/>
                <w:kern w:val="0"/>
                <w:sz w:val="24"/>
                <w:szCs w:val="24"/>
                <w:lang w:val="en-US" w:eastAsia="zh-CN" w:bidi="ar"/>
              </w:rPr>
              <w:t>不得用于经营或是转包（含地块分割分包）用于废品回收、再生资源回收、砂石和建筑垃圾（含装修垃圾）堆场、工业固废和危险废物堆场、混凝土块再生利用堆场、废塑料堆场等。</w:t>
            </w:r>
          </w:p>
          <w:p w14:paraId="3EBDFBE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4.意向人应在报名前自行向相关部门核查标的物能否办理拟经营业态所需的各类审批及证照，并实地踏勘确认标的物现状。有关部门申请办理相关审批手续及相关证照的风险及责任由承租方自行承担。</w:t>
            </w:r>
          </w:p>
          <w:p w14:paraId="273A25B1">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cs="宋体"/>
                <w:kern w:val="0"/>
                <w:sz w:val="24"/>
                <w:szCs w:val="24"/>
                <w:lang w:val="en-US" w:eastAsia="zh-CN" w:bidi="ar"/>
              </w:rPr>
            </w:pPr>
            <w:r>
              <w:rPr>
                <w:rFonts w:hint="eastAsia" w:ascii="宋体" w:hAnsi="宋体" w:cs="宋体"/>
                <w:kern w:val="0"/>
                <w:sz w:val="24"/>
                <w:szCs w:val="24"/>
                <w:lang w:val="en-US" w:eastAsia="zh-CN" w:bidi="ar"/>
              </w:rPr>
              <w:t>5.</w:t>
            </w:r>
            <w:r>
              <w:rPr>
                <w:rFonts w:hint="eastAsia" w:ascii="宋体" w:hAnsi="宋体" w:eastAsia="宋体" w:cs="宋体"/>
                <w:kern w:val="0"/>
                <w:sz w:val="24"/>
                <w:szCs w:val="24"/>
                <w:lang w:val="en-US" w:eastAsia="zh-CN" w:bidi="ar"/>
              </w:rPr>
              <w:t>未经村集体书面同意，承租方不得擅自将标的物全部或部分转租</w:t>
            </w:r>
            <w:r>
              <w:rPr>
                <w:rFonts w:hint="eastAsia" w:ascii="宋体" w:hAnsi="宋体" w:cs="宋体"/>
                <w:kern w:val="0"/>
                <w:sz w:val="24"/>
                <w:szCs w:val="24"/>
                <w:lang w:val="en-US" w:eastAsia="zh-CN" w:bidi="ar"/>
              </w:rPr>
              <w:t>。</w:t>
            </w:r>
          </w:p>
        </w:tc>
      </w:tr>
    </w:tbl>
    <w:p w14:paraId="5C728D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57BC55CE">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报名对象及要求：</w:t>
      </w:r>
      <w:r>
        <w:rPr>
          <w:rFonts w:hint="eastAsia" w:ascii="宋体" w:hAnsi="宋体" w:cs="宋体"/>
          <w:sz w:val="24"/>
          <w:szCs w:val="24"/>
          <w:highlight w:val="none"/>
          <w:lang w:val="en-US" w:eastAsia="zh-CN"/>
        </w:rPr>
        <w:t>有效存续的餐饮行业企业法人及个体工商户。</w:t>
      </w:r>
    </w:p>
    <w:p w14:paraId="74B7A7C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8"/>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郑岙村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w:t>
      </w:r>
      <w:r>
        <w:rPr>
          <w:rFonts w:hint="eastAsia" w:ascii="宋体" w:hAnsi="宋体" w:eastAsia="宋体" w:cs="Times New Roman"/>
          <w:color w:val="auto"/>
          <w:sz w:val="24"/>
          <w:szCs w:val="24"/>
          <w:highlight w:val="none"/>
          <w:u w:val="none"/>
          <w:lang w:val="en-US" w:eastAsia="zh-CN"/>
        </w:rPr>
        <w:t>首年租金成交价的</w:t>
      </w:r>
      <w:r>
        <w:rPr>
          <w:rFonts w:hint="eastAsia" w:ascii="宋体" w:hAnsi="宋体" w:cs="Times New Roman"/>
          <w:color w:val="auto"/>
          <w:sz w:val="24"/>
          <w:szCs w:val="24"/>
          <w:highlight w:val="none"/>
          <w:u w:val="none"/>
          <w:lang w:val="en-US" w:eastAsia="zh-CN"/>
        </w:rPr>
        <w:t>1</w:t>
      </w:r>
      <w:r>
        <w:rPr>
          <w:rFonts w:hint="eastAsia" w:ascii="宋体" w:hAnsi="宋体" w:eastAsia="宋体" w:cs="Times New Roman"/>
          <w:color w:val="auto"/>
          <w:sz w:val="24"/>
          <w:szCs w:val="24"/>
          <w:highlight w:val="none"/>
          <w:u w:val="none"/>
          <w:lang w:val="en-US" w:eastAsia="zh-CN"/>
        </w:rPr>
        <w:t>0%（取整数）。</w:t>
      </w:r>
    </w:p>
    <w:p w14:paraId="2103A2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9</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15</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15657789226</w:t>
      </w:r>
    </w:p>
    <w:p w14:paraId="3334CA40">
      <w:pPr>
        <w:pStyle w:val="8"/>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8"/>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8"/>
        <w:ind w:left="0" w:leftChars="0" w:firstLine="480" w:firstLineChars="200"/>
        <w:rPr>
          <w:rFonts w:hint="eastAsia" w:ascii="宋体" w:hAnsi="宋体" w:eastAsia="宋体" w:cs="Times New Roman"/>
          <w:color w:val="auto"/>
          <w:sz w:val="24"/>
          <w:szCs w:val="24"/>
          <w:highlight w:val="none"/>
          <w:lang w:eastAsia="zh-CN"/>
        </w:rPr>
      </w:pP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温州市龙湾区天河街道郑岙村集体经济组织</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2026年9月9日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351155</wp:posOffset>
            </wp:positionH>
            <wp:positionV relativeFrom="paragraph">
              <wp:posOffset>-2122170</wp:posOffset>
            </wp:positionV>
            <wp:extent cx="5271770" cy="5833110"/>
            <wp:effectExtent l="0" t="0" r="5080" b="15240"/>
            <wp:wrapNone/>
            <wp:docPr id="6"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78A2288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二、本次竞价会采用“上不封顶，下保底价”的增价竞价方式，页面将显示起始价，竞价人根据操作提示应价，每档加价幅度以操作页</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-1683385</wp:posOffset>
            </wp:positionV>
            <wp:extent cx="5271770" cy="5833110"/>
            <wp:effectExtent l="0" t="0" r="5080" b="15240"/>
            <wp:wrapNone/>
            <wp:docPr id="25" name="图片 113"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3"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val="en-US" w:eastAsia="zh-CN"/>
        </w:rPr>
        <w:t>面规定为准。成交方式：无人再次加价且竞价时间倒计时结束，则应价最高者成交。在竞价中，竞价人一经应价，不得撤回，当其他竞价人有更高应价时，其应价即丧失约束力。</w:t>
      </w:r>
    </w:p>
    <w:p w14:paraId="684D1091">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如只征集到一家竞价人，可按首年租金起始价成交。</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2026年9月9日</w:t>
      </w:r>
    </w:p>
    <w:p w14:paraId="36C32941">
      <w:pPr>
        <w:spacing w:line="480" w:lineRule="exact"/>
        <w:textAlignment w:val="baseline"/>
        <w:rPr>
          <w:rFonts w:hint="eastAsia"/>
          <w:color w:val="auto"/>
          <w:sz w:val="28"/>
          <w:szCs w:val="28"/>
        </w:rPr>
      </w:pPr>
    </w:p>
    <w:p w14:paraId="1E8305FE">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120650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10.5pt;margin-top:9.5pt;height:78.3pt;width:461.4pt;z-index:251667456;mso-width-relative:page;mso-height-relative:page;" fillcolor="#FFFFFF" filled="t" stroked="t" coordsize="21600,21600" o:gfxdata="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OY0zG2AAAAAkBAAAPAAAAAAAAAAEAIAAAACIAAABkcnMvZG93bnJldi54bWxQ&#10;SwECFAAUAAAACACHTuJA0uIpXTACAAB4BAAADgAAAAAAAAABACAAAAAnAQAAZHJzL2Uyb0RvYy54&#10;bWxQSwUGAAAAAAYABgBZAQAAyQU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B9A99CF">
      <w:pPr>
        <w:rPr>
          <w:rFonts w:hint="eastAsia"/>
          <w:b/>
          <w:color w:val="auto"/>
          <w:sz w:val="36"/>
          <w:szCs w:val="36"/>
          <w:highlight w:val="none"/>
        </w:rPr>
      </w:pPr>
      <w:r>
        <w:rPr>
          <w:rFonts w:hint="eastAsia"/>
          <w:b/>
          <w:color w:val="auto"/>
          <w:sz w:val="36"/>
          <w:szCs w:val="36"/>
          <w:highlight w:val="none"/>
        </w:rPr>
        <w:br w:type="page"/>
      </w: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2026年9月16日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温州市龙湾区天河街道郑岙村集体经济组织</w:t>
      </w:r>
    </w:p>
    <w:p w14:paraId="7CB9605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90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3910"/>
        <w:gridCol w:w="1245"/>
        <w:gridCol w:w="1350"/>
        <w:gridCol w:w="1335"/>
        <w:gridCol w:w="1165"/>
      </w:tblGrid>
      <w:tr w14:paraId="1A355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786B198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910" w:type="dxa"/>
            <w:tcBorders>
              <w:top w:val="single" w:color="000000" w:sz="4" w:space="0"/>
              <w:left w:val="single" w:color="000000" w:sz="4" w:space="0"/>
              <w:bottom w:val="single" w:color="000000" w:sz="4" w:space="0"/>
              <w:right w:val="single" w:color="000000" w:sz="4" w:space="0"/>
            </w:tcBorders>
            <w:noWrap w:val="0"/>
            <w:vAlign w:val="center"/>
          </w:tcPr>
          <w:p w14:paraId="21C5FD8C">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2595" w:type="dxa"/>
            <w:gridSpan w:val="2"/>
            <w:tcBorders>
              <w:top w:val="single" w:color="000000" w:sz="4" w:space="0"/>
              <w:left w:val="single" w:color="000000" w:sz="4" w:space="0"/>
              <w:bottom w:val="single" w:color="000000" w:sz="4" w:space="0"/>
              <w:right w:val="single" w:color="000000" w:sz="4" w:space="0"/>
            </w:tcBorders>
            <w:noWrap w:val="0"/>
            <w:vAlign w:val="center"/>
          </w:tcPr>
          <w:p w14:paraId="674EB0D9">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03992E6F">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056CB3AC">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165" w:type="dxa"/>
            <w:tcBorders>
              <w:top w:val="single" w:color="000000" w:sz="4" w:space="0"/>
              <w:left w:val="nil"/>
              <w:bottom w:val="single" w:color="000000" w:sz="4" w:space="0"/>
              <w:right w:val="single" w:color="auto" w:sz="4" w:space="0"/>
            </w:tcBorders>
            <w:noWrap w:val="0"/>
            <w:vAlign w:val="center"/>
          </w:tcPr>
          <w:p w14:paraId="6E10EF3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4EC4E78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03FA8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759" w:type="dxa"/>
            <w:vMerge w:val="restart"/>
            <w:tcBorders>
              <w:top w:val="single" w:color="000000" w:sz="4" w:space="0"/>
              <w:left w:val="single" w:color="auto" w:sz="4" w:space="0"/>
              <w:right w:val="single" w:color="000000" w:sz="4" w:space="0"/>
            </w:tcBorders>
            <w:noWrap w:val="0"/>
            <w:vAlign w:val="center"/>
          </w:tcPr>
          <w:p w14:paraId="7F0DFCBD">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3910" w:type="dxa"/>
            <w:vMerge w:val="restart"/>
            <w:tcBorders>
              <w:top w:val="single" w:color="000000" w:sz="4" w:space="0"/>
              <w:left w:val="single" w:color="000000" w:sz="4" w:space="0"/>
              <w:right w:val="single" w:color="000000" w:sz="4" w:space="0"/>
            </w:tcBorders>
            <w:noWrap w:val="0"/>
            <w:vAlign w:val="center"/>
          </w:tcPr>
          <w:p w14:paraId="70A49606">
            <w:pPr>
              <w:spacing w:line="300" w:lineRule="exact"/>
              <w:jc w:val="center"/>
              <w:rPr>
                <w:rFonts w:hint="eastAsia" w:ascii="宋体" w:hAnsi="宋体" w:eastAsia="宋体" w:cs="宋体"/>
                <w:b w:val="0"/>
                <w:bCs w:val="0"/>
                <w:color w:val="auto"/>
                <w:kern w:val="2"/>
                <w:sz w:val="24"/>
                <w:szCs w:val="24"/>
                <w:highlight w:val="none"/>
                <w:u w:val="none"/>
                <w:lang w:val="en-US" w:eastAsia="zh-CN" w:bidi="ar-SA"/>
              </w:rPr>
            </w:pPr>
            <w:r>
              <w:rPr>
                <w:rFonts w:hint="default" w:ascii="宋体" w:hAnsi="宋体" w:eastAsia="宋体" w:cs="宋体"/>
                <w:bCs/>
                <w:kern w:val="2"/>
                <w:sz w:val="24"/>
                <w:szCs w:val="24"/>
                <w:highlight w:val="none"/>
                <w:u w:val="none"/>
                <w:lang w:val="en-US" w:eastAsia="zh-CN" w:bidi="ar-SA"/>
              </w:rPr>
              <w:t>温州龙湾区天河街道郑岙村原村委会房产及配套场地五年租赁权</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06D50322">
            <w:pPr>
              <w:spacing w:line="300" w:lineRule="exact"/>
              <w:jc w:val="center"/>
              <w:rPr>
                <w:rFonts w:hint="eastAsia" w:ascii="宋体" w:hAnsi="宋体" w:eastAsia="宋体" w:cs="宋体"/>
                <w:b w:val="0"/>
                <w:bCs w:val="0"/>
                <w:sz w:val="24"/>
                <w:szCs w:val="24"/>
              </w:rPr>
            </w:pPr>
            <w:r>
              <w:rPr>
                <w:rFonts w:hint="eastAsia" w:ascii="宋体" w:hAnsi="宋体" w:eastAsia="宋体" w:cs="宋体"/>
                <w:bCs/>
                <w:kern w:val="2"/>
                <w:sz w:val="24"/>
                <w:szCs w:val="24"/>
                <w:highlight w:val="none"/>
                <w:u w:val="none"/>
                <w:lang w:val="en-US" w:eastAsia="zh-CN" w:bidi="ar-SA"/>
              </w:rPr>
              <w:t xml:space="preserve">房产    </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4D49FEE">
            <w:pPr>
              <w:spacing w:line="300" w:lineRule="exact"/>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kern w:val="2"/>
                <w:sz w:val="24"/>
                <w:szCs w:val="24"/>
                <w:highlight w:val="none"/>
                <w:u w:val="none"/>
                <w:lang w:val="en-US" w:eastAsia="zh-CN" w:bidi="ar-SA"/>
              </w:rPr>
              <w:t>约390</w:t>
            </w:r>
            <w:r>
              <w:rPr>
                <w:rFonts w:hint="eastAsia" w:ascii="宋体" w:hAnsi="宋体" w:eastAsia="宋体" w:cs="宋体"/>
                <w:kern w:val="0"/>
                <w:sz w:val="24"/>
                <w:szCs w:val="24"/>
                <w:lang w:val="en-US" w:eastAsia="zh-CN" w:bidi="ar"/>
              </w:rPr>
              <w:t>㎡</w:t>
            </w:r>
          </w:p>
        </w:tc>
        <w:tc>
          <w:tcPr>
            <w:tcW w:w="1335" w:type="dxa"/>
            <w:vMerge w:val="restart"/>
            <w:tcBorders>
              <w:top w:val="single" w:color="000000" w:sz="4" w:space="0"/>
              <w:left w:val="single" w:color="000000" w:sz="4" w:space="0"/>
              <w:right w:val="single" w:color="000000" w:sz="4" w:space="0"/>
            </w:tcBorders>
            <w:noWrap w:val="0"/>
            <w:vAlign w:val="center"/>
          </w:tcPr>
          <w:p w14:paraId="09491D9F">
            <w:pPr>
              <w:spacing w:line="300" w:lineRule="exact"/>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87470元      </w:t>
            </w:r>
          </w:p>
        </w:tc>
        <w:tc>
          <w:tcPr>
            <w:tcW w:w="1165" w:type="dxa"/>
            <w:vMerge w:val="restart"/>
            <w:tcBorders>
              <w:top w:val="single" w:color="000000" w:sz="4" w:space="0"/>
              <w:left w:val="nil"/>
              <w:right w:val="single" w:color="auto" w:sz="4" w:space="0"/>
            </w:tcBorders>
            <w:noWrap w:val="0"/>
            <w:vAlign w:val="center"/>
          </w:tcPr>
          <w:p w14:paraId="43D8E312">
            <w:pPr>
              <w:spacing w:line="300" w:lineRule="exact"/>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8万元     </w:t>
            </w:r>
          </w:p>
        </w:tc>
      </w:tr>
      <w:tr w14:paraId="4F0D6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759" w:type="dxa"/>
            <w:vMerge w:val="continue"/>
            <w:tcBorders>
              <w:left w:val="single" w:color="auto" w:sz="4" w:space="0"/>
              <w:right w:val="single" w:color="000000" w:sz="4" w:space="0"/>
            </w:tcBorders>
            <w:noWrap w:val="0"/>
            <w:vAlign w:val="center"/>
          </w:tcPr>
          <w:p w14:paraId="0CAC3586">
            <w:pPr>
              <w:keepNext w:val="0"/>
              <w:keepLines w:val="0"/>
              <w:widowControl/>
              <w:suppressLineNumbers w:val="0"/>
              <w:spacing w:before="0" w:beforeAutospacing="0" w:after="0" w:afterAutospacing="0"/>
              <w:ind w:left="0" w:right="0"/>
              <w:jc w:val="center"/>
              <w:textAlignment w:val="center"/>
            </w:pPr>
          </w:p>
        </w:tc>
        <w:tc>
          <w:tcPr>
            <w:tcW w:w="3910" w:type="dxa"/>
            <w:vMerge w:val="continue"/>
            <w:tcBorders>
              <w:left w:val="single" w:color="000000" w:sz="4" w:space="0"/>
              <w:right w:val="single" w:color="000000" w:sz="4" w:space="0"/>
            </w:tcBorders>
            <w:noWrap w:val="0"/>
            <w:vAlign w:val="center"/>
          </w:tcPr>
          <w:p w14:paraId="3397A73C">
            <w:pPr>
              <w:spacing w:line="300" w:lineRule="exact"/>
              <w:jc w:val="center"/>
            </w:pPr>
          </w:p>
        </w:tc>
        <w:tc>
          <w:tcPr>
            <w:tcW w:w="1245" w:type="dxa"/>
            <w:tcBorders>
              <w:top w:val="single" w:color="000000" w:sz="4" w:space="0"/>
              <w:left w:val="single" w:color="000000" w:sz="4" w:space="0"/>
              <w:bottom w:val="single" w:color="000000" w:sz="4" w:space="0"/>
              <w:right w:val="single" w:color="000000" w:sz="4" w:space="0"/>
            </w:tcBorders>
            <w:noWrap w:val="0"/>
            <w:vAlign w:val="center"/>
          </w:tcPr>
          <w:p w14:paraId="55121B39">
            <w:pPr>
              <w:spacing w:line="300" w:lineRule="exact"/>
              <w:jc w:val="center"/>
            </w:pPr>
            <w:r>
              <w:rPr>
                <w:rFonts w:hint="eastAsia" w:ascii="宋体" w:hAnsi="宋体" w:eastAsia="宋体" w:cs="宋体"/>
                <w:sz w:val="24"/>
                <w:szCs w:val="24"/>
                <w:lang w:val="en-US" w:eastAsia="zh-CN"/>
              </w:rPr>
              <w:t>配套用地</w:t>
            </w: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A62FBD8">
            <w:pPr>
              <w:spacing w:line="300" w:lineRule="exact"/>
              <w:jc w:val="center"/>
            </w:pPr>
            <w:r>
              <w:rPr>
                <w:rFonts w:hint="eastAsia" w:ascii="宋体" w:hAnsi="宋体" w:eastAsia="宋体" w:cs="宋体"/>
                <w:sz w:val="24"/>
                <w:szCs w:val="24"/>
                <w:lang w:val="en-US" w:eastAsia="zh-CN"/>
              </w:rPr>
              <w:t>约1.01亩</w:t>
            </w:r>
          </w:p>
        </w:tc>
        <w:tc>
          <w:tcPr>
            <w:tcW w:w="1335" w:type="dxa"/>
            <w:vMerge w:val="continue"/>
            <w:tcBorders>
              <w:left w:val="single" w:color="000000" w:sz="4" w:space="0"/>
              <w:right w:val="single" w:color="000000" w:sz="4" w:space="0"/>
            </w:tcBorders>
            <w:noWrap w:val="0"/>
            <w:vAlign w:val="center"/>
          </w:tcPr>
          <w:p w14:paraId="1C48CA48">
            <w:pPr>
              <w:keepNext w:val="0"/>
              <w:keepLines w:val="0"/>
              <w:widowControl/>
              <w:suppressLineNumbers w:val="0"/>
              <w:spacing w:before="0" w:beforeAutospacing="0" w:after="0" w:afterAutospacing="0"/>
              <w:ind w:left="0" w:right="0"/>
              <w:jc w:val="center"/>
              <w:textAlignment w:val="center"/>
            </w:pPr>
          </w:p>
        </w:tc>
        <w:tc>
          <w:tcPr>
            <w:tcW w:w="1165" w:type="dxa"/>
            <w:vMerge w:val="continue"/>
            <w:tcBorders>
              <w:left w:val="nil"/>
              <w:right w:val="single" w:color="auto" w:sz="4" w:space="0"/>
            </w:tcBorders>
            <w:noWrap w:val="0"/>
            <w:vAlign w:val="center"/>
          </w:tcPr>
          <w:p w14:paraId="4581AFB1">
            <w:pPr>
              <w:keepNext w:val="0"/>
              <w:keepLines w:val="0"/>
              <w:widowControl/>
              <w:suppressLineNumbers w:val="0"/>
              <w:spacing w:before="0" w:beforeAutospacing="0" w:after="0" w:afterAutospacing="0"/>
              <w:ind w:left="0" w:right="0"/>
              <w:jc w:val="center"/>
              <w:textAlignment w:val="center"/>
            </w:pPr>
          </w:p>
        </w:tc>
      </w:tr>
      <w:tr w14:paraId="134E7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65" w:hRule="atLeast"/>
          <w:jc w:val="center"/>
        </w:trPr>
        <w:tc>
          <w:tcPr>
            <w:tcW w:w="9764" w:type="dxa"/>
            <w:gridSpan w:val="6"/>
            <w:tcBorders>
              <w:top w:val="single" w:color="000000" w:sz="4" w:space="0"/>
              <w:left w:val="single" w:color="auto" w:sz="4" w:space="0"/>
              <w:bottom w:val="single" w:color="000000" w:sz="4" w:space="0"/>
              <w:right w:val="single" w:color="auto" w:sz="4" w:space="0"/>
            </w:tcBorders>
            <w:noWrap w:val="0"/>
            <w:vAlign w:val="center"/>
          </w:tcPr>
          <w:p w14:paraId="354006A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注：1.租期5年，租金（不含税）一年一付，先付后用，第1-3年租金为竞价成交价，第4-5年租金在第3年租金基础上递增3%。</w:t>
            </w:r>
          </w:p>
          <w:p w14:paraId="64B88E60">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lang w:val="en-US" w:eastAsia="zh-CN" w:bidi="ar"/>
              </w:rPr>
              <w:t>2.</w:t>
            </w:r>
            <w:r>
              <w:rPr>
                <w:rFonts w:hint="default" w:ascii="宋体" w:hAnsi="宋体" w:eastAsia="宋体" w:cs="宋体"/>
                <w:kern w:val="0"/>
                <w:sz w:val="24"/>
                <w:szCs w:val="24"/>
                <w:lang w:val="en-US" w:eastAsia="zh-CN" w:bidi="ar"/>
              </w:rPr>
              <w:t>装修期3个月，不计租金及租期</w:t>
            </w:r>
            <w:r>
              <w:rPr>
                <w:rFonts w:hint="eastAsia" w:ascii="宋体" w:hAnsi="宋体" w:eastAsia="宋体" w:cs="宋体"/>
                <w:bCs/>
                <w:kern w:val="2"/>
                <w:sz w:val="24"/>
                <w:szCs w:val="24"/>
                <w:highlight w:val="none"/>
                <w:lang w:val="en-US" w:eastAsia="zh-CN" w:bidi="ar"/>
              </w:rPr>
              <w:t>。</w:t>
            </w:r>
          </w:p>
          <w:p w14:paraId="572FAAF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kern w:val="0"/>
                <w:sz w:val="24"/>
                <w:szCs w:val="24"/>
                <w:lang w:val="en-US" w:eastAsia="zh-CN" w:bidi="ar"/>
              </w:rPr>
            </w:pPr>
            <w:r>
              <w:rPr>
                <w:rFonts w:hint="default" w:ascii="宋体" w:hAnsi="宋体" w:eastAsia="宋体" w:cs="宋体"/>
                <w:bCs/>
                <w:kern w:val="2"/>
                <w:sz w:val="24"/>
                <w:szCs w:val="24"/>
                <w:lang w:val="en-US" w:eastAsia="zh-CN" w:bidi="ar"/>
              </w:rPr>
              <w:t>3.</w:t>
            </w:r>
            <w:r>
              <w:rPr>
                <w:rFonts w:hint="eastAsia" w:ascii="宋体" w:hAnsi="宋体" w:eastAsia="宋体" w:cs="宋体"/>
                <w:kern w:val="0"/>
                <w:sz w:val="24"/>
                <w:szCs w:val="24"/>
                <w:lang w:val="en-US" w:eastAsia="zh-CN" w:bidi="ar"/>
              </w:rPr>
              <w:t>经营业态：政府允许的餐饮行业。</w:t>
            </w:r>
            <w:r>
              <w:rPr>
                <w:rFonts w:hint="eastAsia" w:ascii="宋体" w:hAnsi="宋体" w:cs="宋体"/>
                <w:kern w:val="0"/>
                <w:sz w:val="24"/>
                <w:szCs w:val="24"/>
                <w:lang w:val="en-US" w:eastAsia="zh-CN" w:bidi="ar"/>
              </w:rPr>
              <w:t>配套场地</w:t>
            </w:r>
            <w:r>
              <w:rPr>
                <w:rFonts w:hint="eastAsia" w:ascii="宋体" w:hAnsi="宋体" w:eastAsia="宋体" w:cs="宋体"/>
                <w:kern w:val="0"/>
                <w:sz w:val="24"/>
                <w:szCs w:val="24"/>
                <w:lang w:val="en-US" w:eastAsia="zh-CN" w:bidi="ar"/>
              </w:rPr>
              <w:t>不得用于经营或是转包（含地块分割分包）用于废品回收、再生资源回收、砂石和建筑垃圾（含装修垃圾）堆场、工业固废和危险废物堆场、混凝土块再生利用堆场、废塑料堆场等</w:t>
            </w:r>
            <w:r>
              <w:rPr>
                <w:rFonts w:hint="eastAsia" w:ascii="宋体" w:hAnsi="宋体" w:cs="宋体"/>
                <w:kern w:val="0"/>
                <w:sz w:val="24"/>
                <w:szCs w:val="24"/>
                <w:lang w:val="en-US" w:eastAsia="zh-CN" w:bidi="ar"/>
              </w:rPr>
              <w:t>。</w:t>
            </w:r>
          </w:p>
          <w:p w14:paraId="20A0FF6D">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4.意向人应在报名前自行向相关部门核查标的物能否办理拟经营业态所需的各类审批及证照，并实地踏勘确认标的物现状。有关部门申请办理相关审批手续及相关证照的风险及责任由承租方自行承担。</w:t>
            </w:r>
          </w:p>
          <w:p w14:paraId="43F59B0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cs="宋体"/>
                <w:kern w:val="0"/>
                <w:sz w:val="24"/>
                <w:szCs w:val="24"/>
                <w:lang w:val="en-US" w:eastAsia="zh-CN" w:bidi="ar"/>
              </w:rPr>
            </w:pPr>
            <w:r>
              <w:rPr>
                <w:rFonts w:hint="eastAsia" w:ascii="宋体" w:hAnsi="宋体" w:cs="宋体"/>
                <w:kern w:val="0"/>
                <w:sz w:val="24"/>
                <w:szCs w:val="24"/>
                <w:lang w:val="en-US" w:eastAsia="zh-CN" w:bidi="ar"/>
              </w:rPr>
              <w:t>5.</w:t>
            </w:r>
            <w:r>
              <w:rPr>
                <w:rFonts w:hint="eastAsia" w:ascii="宋体" w:hAnsi="宋体" w:eastAsia="宋体" w:cs="宋体"/>
                <w:kern w:val="0"/>
                <w:sz w:val="24"/>
                <w:szCs w:val="24"/>
                <w:lang w:val="en-US" w:eastAsia="zh-CN" w:bidi="ar"/>
              </w:rPr>
              <w:t>未经村集体书面同意，承租方不得擅自将标的物全部或部分转租</w:t>
            </w:r>
            <w:r>
              <w:rPr>
                <w:rFonts w:hint="eastAsia" w:ascii="宋体" w:hAnsi="宋体" w:cs="宋体"/>
                <w:kern w:val="0"/>
                <w:sz w:val="24"/>
                <w:szCs w:val="24"/>
                <w:lang w:val="en-US" w:eastAsia="zh-CN" w:bidi="ar"/>
              </w:rPr>
              <w:t>。</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-4219575</wp:posOffset>
            </wp:positionV>
            <wp:extent cx="5271770" cy="5833110"/>
            <wp:effectExtent l="0" t="0" r="5080" b="15240"/>
            <wp:wrapNone/>
            <wp:docPr id="30"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B819D6C">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6DBED151">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left"/>
        <w:textAlignment w:val="auto"/>
        <w:rPr>
          <w:rFonts w:hint="default" w:ascii="宋体" w:hAnsi="宋体" w:eastAsia="宋体" w:cs="宋体"/>
          <w:b w:val="0"/>
          <w:bCs w:val="0"/>
          <w:color w:val="auto"/>
          <w:sz w:val="24"/>
          <w:u w:val="none"/>
          <w:lang w:val="en-US" w:eastAsia="zh-CN"/>
        </w:rPr>
      </w:pPr>
      <w:r>
        <w:rPr>
          <w:rFonts w:hint="eastAsia" w:ascii="宋体" w:hAnsi="宋体" w:eastAsia="宋体" w:cs="宋体"/>
          <w:b w:val="0"/>
          <w:bCs w:val="0"/>
          <w:color w:val="auto"/>
          <w:kern w:val="0"/>
          <w:sz w:val="24"/>
          <w:lang w:val="en-US" w:eastAsia="zh-CN" w:bidi="ar-SA"/>
        </w:rPr>
        <w:t>3、</w:t>
      </w:r>
      <w:r>
        <w:rPr>
          <w:rFonts w:hint="eastAsia"/>
          <w:b w:val="0"/>
          <w:bCs/>
          <w:color w:val="auto"/>
          <w:sz w:val="24"/>
          <w:szCs w:val="24"/>
          <w:highlight w:val="none"/>
          <w:lang w:val="en-US" w:eastAsia="zh-CN"/>
        </w:rPr>
        <w:t>竞得人应在成交之日起30日内与出租人签订《租赁合同》，租期起止时间以租赁双方签订的合同为准。标的物由出租人按移交时的现场现状移交给竞得人</w:t>
      </w:r>
      <w:r>
        <w:rPr>
          <w:rFonts w:hint="eastAsia" w:ascii="宋体" w:hAnsi="宋体" w:eastAsia="宋体" w:cs="宋体"/>
          <w:b w:val="0"/>
          <w:bCs w:val="0"/>
          <w:color w:val="auto"/>
          <w:sz w:val="24"/>
          <w:u w:val="none"/>
          <w:lang w:val="en-US" w:eastAsia="zh-CN"/>
        </w:rPr>
        <w:t>。</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40" w:lineRule="exact"/>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40" w:lineRule="exact"/>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等一切税费均由承租人承担并自行结算(含出租人因租赁关系需向税务等有关部门缴纳的一切税费)。</w:t>
      </w:r>
    </w:p>
    <w:p w14:paraId="3FB8096A">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w:t>
      </w: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453390</wp:posOffset>
            </wp:positionH>
            <wp:positionV relativeFrom="paragraph">
              <wp:posOffset>-4947920</wp:posOffset>
            </wp:positionV>
            <wp:extent cx="5271770" cy="5833110"/>
            <wp:effectExtent l="0" t="0" r="5080" b="15240"/>
            <wp:wrapNone/>
            <wp:docPr id="10"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sz w:val="24"/>
          <w:szCs w:val="24"/>
          <w:lang w:val="en-US" w:eastAsia="zh-CN"/>
        </w:rPr>
        <w:t>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689AD533">
      <w:pPr>
        <w:pStyle w:val="8"/>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6、标的物无不动产权证，因此，有关部门申请办理相关审批手续及相关证照的风险及责任由承租人自行承担。</w:t>
      </w:r>
    </w:p>
    <w:p w14:paraId="2C6019DE">
      <w:pPr>
        <w:pStyle w:val="8"/>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B3276E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0174629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color w:val="auto"/>
          <w:sz w:val="24"/>
          <w:szCs w:val="24"/>
          <w:highlight w:val="none"/>
          <w:lang w:val="en-US"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56062DD8">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248920</wp:posOffset>
                </wp:positionH>
                <wp:positionV relativeFrom="paragraph">
                  <wp:posOffset>270510</wp:posOffset>
                </wp:positionV>
                <wp:extent cx="5859780" cy="994410"/>
                <wp:effectExtent l="4445" t="4445" r="22225" b="10795"/>
                <wp:wrapNone/>
                <wp:docPr id="21"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19.6pt;margin-top:21.3pt;height:78.3pt;width:461.4pt;z-index:251669504;mso-width-relative:page;mso-height-relative:page;" fillcolor="#FFFFFF" filled="t" stroked="t" coordsize="21600,21600" o:gfxdata="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wgqll1wAAAAkBAAAPAAAAAAAAAAEAIAAAACIAAABkcnMvZG93bnJldi54bWxQ&#10;SwECFAAUAAAACACHTuJA+iuNyDECAAB4BAAADgAAAAAAAAABACAAAAAmAQAAZHJzL2Uyb0RvYy54&#10;bWxQSwUGAAAAAAYABgBZAQAAyQU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2026年9月9日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2" w:firstLineChars="196"/>
        <w:textAlignment w:val="auto"/>
        <w:rPr>
          <w:rFonts w:hint="eastAsia" w:ascii="宋体" w:hAnsi="宋体"/>
          <w:b/>
          <w:color w:val="auto"/>
          <w:sz w:val="24"/>
        </w:rPr>
      </w:pP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883"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088" w:bottom="1440" w:left="1088" w:header="851" w:footer="992" w:gutter="0"/>
          <w:pgNumType w:fmt="decimal" w:start="1"/>
          <w:cols w:space="720" w:num="1"/>
          <w:titlePg/>
          <w:docGrid w:type="lines" w:linePitch="312" w:charSpace="0"/>
        </w:sectPr>
      </w:pP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-3286125</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2026年9月16日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8"/>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租期5年，租金（不含税）一年一付，先付后用，第1-3年租金为竞价成交价，第4-5年租金在第3年租金基础上递增3%</w:t>
      </w:r>
      <w:r>
        <w:rPr>
          <w:rFonts w:hint="eastAsia" w:ascii="宋体" w:hAnsi="宋体"/>
          <w:b/>
          <w:bCs/>
          <w:color w:val="auto"/>
          <w:sz w:val="24"/>
          <w:highlight w:val="none"/>
          <w:lang w:eastAsia="zh-CN"/>
        </w:rPr>
        <w:t>。</w:t>
      </w:r>
    </w:p>
    <w:p w14:paraId="313807F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23</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具体租赁事项以竞得人与温州市龙湾区天河街道郑岙村集体经济组织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w:t>
      </w:r>
      <w:r>
        <w:rPr>
          <w:rFonts w:hint="eastAsia" w:ascii="宋体" w:hAnsi="宋体"/>
          <w:color w:val="auto"/>
          <w:kern w:val="2"/>
          <w:sz w:val="24"/>
          <w:szCs w:val="24"/>
          <w:highlight w:val="none"/>
          <w:lang w:val="en-US" w:eastAsia="zh-CN" w:bidi="ar-SA"/>
        </w:rPr>
        <w:t>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 xml:space="preserve">  </w:t>
      </w:r>
      <w:r>
        <w:rPr>
          <w:rFonts w:hint="eastAsia" w:ascii="宋体" w:hAnsi="宋体" w:eastAsia="宋体"/>
          <w:color w:val="auto"/>
          <w:kern w:val="2"/>
          <w:sz w:val="24"/>
          <w:szCs w:val="24"/>
          <w:highlight w:val="none"/>
          <w:lang w:val="en-US" w:eastAsia="zh-CN" w:bidi="ar-SA"/>
        </w:rPr>
        <w:t>月  日</w:t>
      </w:r>
    </w:p>
    <w:p w14:paraId="28344F60">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sz w:val="48"/>
          <w:szCs w:val="48"/>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jc w:val="lef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温州市龙湾区天河街道郑岙村集体经济组织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DA298C9">
      <w:pPr>
        <w:keepNext w:val="0"/>
        <w:keepLines w:val="0"/>
        <w:pageBreakBefore w:val="0"/>
        <w:widowControl w:val="0"/>
        <w:kinsoku/>
        <w:overflowPunct/>
        <w:topLinePunct w:val="0"/>
        <w:autoSpaceDN/>
        <w:bidi w:val="0"/>
        <w:adjustRightInd/>
        <w:spacing w:line="400" w:lineRule="exact"/>
        <w:ind w:firstLine="720" w:firstLineChars="300"/>
        <w:textAlignment w:val="auto"/>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2E05788A">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0FE7D3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政府允许的餐饮行业。配套场地不得用于经营或是转包（含地块分割分包）用于废品回收、再生资源回收、砂石和建筑垃圾（含装修垃圾）堆场、工业固废和危险废物堆场、混凝土块再生利用堆场、废塑料堆场等</w:t>
      </w:r>
      <w:bookmarkStart w:id="0" w:name="_GoBack"/>
      <w:bookmarkEnd w:id="0"/>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3CD9160B">
      <w:pPr>
        <w:pStyle w:val="3"/>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3 </w:t>
      </w:r>
      <w:r>
        <w:rPr>
          <w:rFonts w:hint="eastAsia" w:ascii="宋体" w:hAnsi="宋体" w:cs="宋体"/>
          <w:color w:val="auto"/>
          <w:szCs w:val="24"/>
          <w:highlight w:val="none"/>
          <w:lang w:val="en-US" w:eastAsia="zh-CN"/>
        </w:rPr>
        <w:t>个月</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none"/>
          <w:lang w:eastAsia="zh-CN"/>
        </w:rPr>
        <w:t>。</w:t>
      </w:r>
    </w:p>
    <w:p w14:paraId="2530D564">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3"/>
        <w:spacing w:line="380" w:lineRule="exact"/>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三</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477C956B">
      <w:pPr>
        <w:pStyle w:val="3"/>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3"/>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7B6E43E0">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283A8B73">
      <w:pPr>
        <w:pStyle w:val="3"/>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46EA0DF3">
      <w:pPr>
        <w:pStyle w:val="3"/>
        <w:spacing w:line="380" w:lineRule="exact"/>
        <w:rPr>
          <w:rFonts w:hint="eastAsia" w:ascii="宋体" w:hAnsi="宋体" w:cs="宋体"/>
          <w:color w:val="auto"/>
          <w:kern w:val="0"/>
          <w:szCs w:val="24"/>
          <w:highlight w:val="none"/>
          <w:u w:val="none"/>
          <w:lang w:eastAsia="zh-CN"/>
        </w:rPr>
      </w:pPr>
      <w:r>
        <w:rPr>
          <w:rFonts w:hint="eastAsia" w:ascii="宋体" w:hAnsi="宋体" w:cs="宋体"/>
          <w:color w:val="auto"/>
          <w:szCs w:val="24"/>
          <w:highlight w:val="none"/>
          <w:u w:val="none"/>
          <w:lang w:val="en-US" w:eastAsia="zh-CN"/>
        </w:rPr>
        <w:t>3.</w:t>
      </w:r>
      <w:r>
        <w:rPr>
          <w:rFonts w:hint="eastAsia" w:ascii="宋体" w:hAnsi="宋体"/>
          <w:color w:val="auto"/>
          <w:szCs w:val="24"/>
          <w:highlight w:val="none"/>
          <w:u w:val="none"/>
          <w:lang w:val="en-US" w:eastAsia="zh-CN"/>
        </w:rPr>
        <w:t>第三年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7C04383F">
      <w:pPr>
        <w:pStyle w:val="3"/>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4.第四年年租金￥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3DBD065B">
      <w:pPr>
        <w:pStyle w:val="3"/>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5.第五年年租金￥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110F4452">
      <w:pPr>
        <w:pStyle w:val="3"/>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none"/>
          <w:lang w:val="en-US" w:eastAsia="zh-CN"/>
        </w:rPr>
        <w:t>6.</w:t>
      </w:r>
      <w:r>
        <w:rPr>
          <w:rFonts w:hint="eastAsia" w:ascii="宋体" w:hAnsi="宋体" w:eastAsia="宋体" w:cs="宋体"/>
          <w:color w:val="auto"/>
          <w:szCs w:val="24"/>
          <w:highlight w:val="none"/>
          <w:u w:val="single"/>
          <w:lang w:val="en-US" w:eastAsia="zh-CN"/>
        </w:rPr>
        <w:t>租期5年，租金（不含税）一年一付，先付后用，第1-3年租金为竞价成交价，第4-5年租金在第3年租金基础上递增3%</w:t>
      </w:r>
      <w:r>
        <w:rPr>
          <w:rFonts w:hint="eastAsia" w:ascii="宋体" w:hAnsi="宋体" w:cs="宋体"/>
          <w:color w:val="auto"/>
          <w:szCs w:val="24"/>
          <w:highlight w:val="none"/>
          <w:u w:val="single"/>
          <w:lang w:val="en-US" w:eastAsia="zh-CN"/>
        </w:rPr>
        <w:t>，下期租金应在上期租赁期限届满前1个月付清。</w:t>
      </w:r>
    </w:p>
    <w:p w14:paraId="494A8111">
      <w:pPr>
        <w:pStyle w:val="3"/>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w:t>
      </w: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-5140960</wp:posOffset>
            </wp:positionV>
            <wp:extent cx="5271770" cy="5833110"/>
            <wp:effectExtent l="0" t="0" r="5080" b="15240"/>
            <wp:wrapNone/>
            <wp:docPr id="2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kern w:val="0"/>
          <w:szCs w:val="24"/>
          <w:highlight w:val="none"/>
        </w:rPr>
        <w:t>或先予支付上述费用，保证金不足部分，乙方须在接到甲方通知后10天内予以补足。</w:t>
      </w:r>
    </w:p>
    <w:p w14:paraId="1FC15555">
      <w:pPr>
        <w:pStyle w:val="3"/>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（三）租金不含税，甲方收齐首年租金后向乙方开具租金发票，租赁税等一切租赁期间产生的税、费均由乙方承担并结算(含甲方因租赁关系需向税务等有关部门缴纳的一切税费)</w:t>
      </w:r>
      <w:r>
        <w:rPr>
          <w:rFonts w:hint="eastAsia" w:ascii="宋体" w:hAnsi="宋体" w:cs="宋体"/>
          <w:color w:val="auto"/>
          <w:szCs w:val="24"/>
          <w:highlight w:val="none"/>
          <w:lang w:eastAsia="zh-CN"/>
        </w:rPr>
        <w:t>。</w:t>
      </w:r>
    </w:p>
    <w:p w14:paraId="12ECF52D">
      <w:pPr>
        <w:pStyle w:val="3"/>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w:t>
      </w: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3"/>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57C2315">
      <w:pPr>
        <w:pStyle w:val="3"/>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3"/>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w:t>
      </w: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w:t>
      </w: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-1927860</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合同、劳资等纠纷或者责任事故，由乙方自行负责，与甲方无关。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3"/>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3"/>
        <w:spacing w:line="380" w:lineRule="exact"/>
        <w:ind w:left="240" w:hanging="240" w:hangingChars="100"/>
        <w:rPr>
          <w:rFonts w:ascii="宋体" w:hAnsi="宋体" w:cs="宋体"/>
          <w:szCs w:val="24"/>
        </w:rPr>
      </w:pPr>
    </w:p>
    <w:p w14:paraId="3F5466C7">
      <w:pPr>
        <w:pStyle w:val="3"/>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4320" w:firstLineChars="1800"/>
        <w:rPr>
          <w:rFonts w:hint="eastAsia" w:ascii="宋体" w:hAnsi="宋体" w:cs="宋体"/>
          <w:sz w:val="24"/>
          <w:szCs w:val="24"/>
        </w:rPr>
      </w:pP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4320" w:firstLineChars="1800"/>
        <w:rPr>
          <w:rFonts w:hint="eastAsia" w:ascii="宋体" w:hAnsi="宋体" w:cs="宋体"/>
          <w:sz w:val="24"/>
          <w:szCs w:val="24"/>
        </w:rPr>
      </w:pP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2576"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1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44E0BC8">
      <w:pPr>
        <w:spacing w:line="380" w:lineRule="exact"/>
        <w:ind w:right="480" w:firstLine="4320" w:firstLineChars="1800"/>
        <w:rPr>
          <w:rFonts w:hint="eastAsia" w:ascii="宋体" w:hAnsi="宋体" w:cs="宋体"/>
          <w:sz w:val="24"/>
          <w:szCs w:val="24"/>
        </w:rPr>
      </w:pPr>
    </w:p>
    <w:p w14:paraId="2715DCC3">
      <w:pPr>
        <w:spacing w:line="380" w:lineRule="exact"/>
        <w:ind w:right="480" w:firstLine="4320" w:firstLineChars="1800"/>
        <w:rPr>
          <w:rFonts w:hint="eastAsia" w:ascii="宋体" w:hAnsi="宋体" w:cs="宋体"/>
          <w:sz w:val="24"/>
          <w:szCs w:val="24"/>
        </w:rPr>
      </w:pPr>
    </w:p>
    <w:p w14:paraId="064F8935">
      <w:pPr>
        <w:spacing w:line="380" w:lineRule="exact"/>
        <w:ind w:right="480" w:firstLine="4320" w:firstLineChars="1800"/>
        <w:rPr>
          <w:rFonts w:hint="eastAsia" w:ascii="宋体" w:hAnsi="宋体" w:cs="宋体"/>
          <w:sz w:val="24"/>
          <w:szCs w:val="24"/>
        </w:rPr>
      </w:pPr>
    </w:p>
    <w:p w14:paraId="504D5E9B">
      <w:pPr>
        <w:spacing w:line="380" w:lineRule="exact"/>
        <w:ind w:right="480" w:firstLine="4320" w:firstLineChars="1800"/>
        <w:rPr>
          <w:rFonts w:hint="eastAsia" w:ascii="宋体" w:hAnsi="宋体" w:cs="宋体"/>
          <w:sz w:val="24"/>
          <w:szCs w:val="24"/>
        </w:rPr>
      </w:pPr>
    </w:p>
    <w:p w14:paraId="443B550F">
      <w:pPr>
        <w:spacing w:line="380" w:lineRule="exact"/>
        <w:ind w:right="480" w:firstLine="4320" w:firstLineChars="1800"/>
        <w:rPr>
          <w:rFonts w:hint="eastAsia" w:ascii="宋体" w:hAnsi="宋体" w:cs="宋体"/>
          <w:sz w:val="24"/>
          <w:szCs w:val="24"/>
        </w:rPr>
      </w:pPr>
    </w:p>
    <w:p w14:paraId="0376B392">
      <w:pPr>
        <w:spacing w:line="380" w:lineRule="exact"/>
        <w:ind w:right="480"/>
        <w:rPr>
          <w:rFonts w:hint="eastAsia" w:ascii="宋体" w:hAnsi="宋体" w:cs="宋体"/>
          <w:sz w:val="24"/>
          <w:szCs w:val="24"/>
        </w:rPr>
      </w:pPr>
    </w:p>
    <w:p w14:paraId="4FC2CD28">
      <w:pPr>
        <w:pStyle w:val="8"/>
        <w:rPr>
          <w:rFonts w:hint="eastAsia"/>
        </w:rPr>
      </w:pP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0528" behindDoc="0" locked="0" layoutInCell="1" allowOverlap="1">
                <wp:simplePos x="0" y="0"/>
                <wp:positionH relativeFrom="column">
                  <wp:posOffset>113030</wp:posOffset>
                </wp:positionH>
                <wp:positionV relativeFrom="paragraph">
                  <wp:posOffset>101600</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8.9pt;margin-top:8pt;height:94.5pt;width:478.5pt;z-index:251670528;mso-width-relative:page;mso-height-relative:page;" fillcolor="#FFFFFF" filled="t" stroked="t" coordsize="21600,21600" o:gfxdata="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HQYKnVAAAACQEAAA8AAAAAAAAAAQAgAAAAIgAAAGRycy9kb3ducmV2LnhtbFBLAQIUABQA&#10;AAAIAIdO4kBONdDHZQIAAAEFAAAOAAAAAAAAAAEAIAAAACQBAABkcnMvZTJvRG9jLnhtbFBLBQYA&#10;AAAABgAGAFkBAAD7BQ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778967DC"/>
    <w:p w14:paraId="38F13501">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5"/>
      <w:framePr w:wrap="around" w:vAnchor="text" w:hAnchor="margin" w:xAlign="center" w:y="1"/>
      <w:rPr>
        <w:rStyle w:val="14"/>
        <w:rFonts w:hint="eastAsia"/>
      </w:rPr>
    </w:pPr>
  </w:p>
  <w:p w14:paraId="61B3317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5"/>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5"/>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KqoHvpAQAAygMAAA4AAABkcnMvZTJvRG9jLnhtbK1TwW7bMAy9&#10;D9g/CLovdjx0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iqqB7&#10;6QEAAMoDAAAOAAAAAAAAAAEAIAAAACIBAABkcnMvZTJvRG9jLnhtbFBLBQYAAAAABgAGAFkBAAB9&#10;BQAAAAA=&#10;">
              <v:fill on="f" focussize="0,0"/>
              <v:stroke on="f" weight="1.25pt"/>
              <v:imagedata o:title=""/>
              <o:lock v:ext="edit" aspectratio="f"/>
              <v:textbox inset="0mm,0mm,0mm,0mm" style="mso-fit-shape-to-text:t;">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740265FF">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0flVno&#10;AQAAygMAAA4AAAAAAAAAAQAgAAAAIgEAAGRycy9lMm9Eb2MueG1sUEsFBgAAAAAGAAYAWQEAAHwF&#10;AAAAAA==&#10;">
              <v:fill on="f" focussize="0,0"/>
              <v:stroke on="f" weight="1.25pt"/>
              <v:imagedata o:title=""/>
              <o:lock v:ext="edit" aspectratio="f"/>
              <v:textbox inset="0mm,0mm,0mm,0mm" style="mso-fit-shape-to-text:t;">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0FC206D"/>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B5FA3"/>
    <w:rsid w:val="054D2915"/>
    <w:rsid w:val="05832D9D"/>
    <w:rsid w:val="05924D4E"/>
    <w:rsid w:val="05A131E3"/>
    <w:rsid w:val="05C72C4A"/>
    <w:rsid w:val="05E15C61"/>
    <w:rsid w:val="05EE0416"/>
    <w:rsid w:val="061816F7"/>
    <w:rsid w:val="063D6CE4"/>
    <w:rsid w:val="0644429B"/>
    <w:rsid w:val="0648365F"/>
    <w:rsid w:val="065D02DA"/>
    <w:rsid w:val="069F7723"/>
    <w:rsid w:val="06A8306B"/>
    <w:rsid w:val="06B62CBE"/>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7A5B4A"/>
    <w:rsid w:val="0A8C6210"/>
    <w:rsid w:val="0A900037"/>
    <w:rsid w:val="0AA00FEE"/>
    <w:rsid w:val="0ABD08DF"/>
    <w:rsid w:val="0B0264D2"/>
    <w:rsid w:val="0B050935"/>
    <w:rsid w:val="0B424B21"/>
    <w:rsid w:val="0B48482D"/>
    <w:rsid w:val="0B7078E0"/>
    <w:rsid w:val="0B7C44D7"/>
    <w:rsid w:val="0B8B296C"/>
    <w:rsid w:val="0B8B471A"/>
    <w:rsid w:val="0B8C17DF"/>
    <w:rsid w:val="0BAE0408"/>
    <w:rsid w:val="0BB35A1E"/>
    <w:rsid w:val="0BB6443C"/>
    <w:rsid w:val="0C032502"/>
    <w:rsid w:val="0C142961"/>
    <w:rsid w:val="0C394176"/>
    <w:rsid w:val="0C3C767B"/>
    <w:rsid w:val="0C601702"/>
    <w:rsid w:val="0C741652"/>
    <w:rsid w:val="0C7E427E"/>
    <w:rsid w:val="0C880C59"/>
    <w:rsid w:val="0C8A49D1"/>
    <w:rsid w:val="0CC64BA8"/>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7019A5"/>
    <w:rsid w:val="0E9438E5"/>
    <w:rsid w:val="0EA31D7A"/>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2854DC"/>
    <w:rsid w:val="11365128"/>
    <w:rsid w:val="116C28F7"/>
    <w:rsid w:val="11875983"/>
    <w:rsid w:val="11877731"/>
    <w:rsid w:val="118E6D12"/>
    <w:rsid w:val="119058ED"/>
    <w:rsid w:val="119F0F1F"/>
    <w:rsid w:val="11CE7F85"/>
    <w:rsid w:val="11DF30C9"/>
    <w:rsid w:val="12086AC4"/>
    <w:rsid w:val="125308C6"/>
    <w:rsid w:val="125A7AA6"/>
    <w:rsid w:val="127759F8"/>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1768EF"/>
    <w:rsid w:val="143C6FAC"/>
    <w:rsid w:val="143E4A1F"/>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27F24"/>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80755"/>
    <w:rsid w:val="1ABF727F"/>
    <w:rsid w:val="1AC047DA"/>
    <w:rsid w:val="1AC6751C"/>
    <w:rsid w:val="1AE17EB2"/>
    <w:rsid w:val="1AE836D1"/>
    <w:rsid w:val="1AF44DD8"/>
    <w:rsid w:val="1B134C01"/>
    <w:rsid w:val="1B21373F"/>
    <w:rsid w:val="1B2D42DC"/>
    <w:rsid w:val="1B44703D"/>
    <w:rsid w:val="1B486183"/>
    <w:rsid w:val="1B4A06C8"/>
    <w:rsid w:val="1B4D32E6"/>
    <w:rsid w:val="1B4E306E"/>
    <w:rsid w:val="1B55319F"/>
    <w:rsid w:val="1B851185"/>
    <w:rsid w:val="1BB04A9C"/>
    <w:rsid w:val="1BC872C4"/>
    <w:rsid w:val="1BDD4B1E"/>
    <w:rsid w:val="1BE35EAC"/>
    <w:rsid w:val="1BEA4254"/>
    <w:rsid w:val="1C0D7A23"/>
    <w:rsid w:val="1C3B5CE8"/>
    <w:rsid w:val="1C413713"/>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49353B"/>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C1334C"/>
    <w:rsid w:val="22E76282"/>
    <w:rsid w:val="22EC5646"/>
    <w:rsid w:val="22F34410"/>
    <w:rsid w:val="231B5F2B"/>
    <w:rsid w:val="231D1975"/>
    <w:rsid w:val="234F2396"/>
    <w:rsid w:val="236B0C61"/>
    <w:rsid w:val="23783346"/>
    <w:rsid w:val="23A322E4"/>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8838D8"/>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C8457A"/>
    <w:rsid w:val="27E04561"/>
    <w:rsid w:val="27E533D0"/>
    <w:rsid w:val="27E71F60"/>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E4E85"/>
    <w:rsid w:val="29FF65A7"/>
    <w:rsid w:val="2A202079"/>
    <w:rsid w:val="2A245168"/>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51F95"/>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D87E0D"/>
    <w:rsid w:val="2DE9754D"/>
    <w:rsid w:val="2E0777D8"/>
    <w:rsid w:val="2E1A575D"/>
    <w:rsid w:val="2E206AEC"/>
    <w:rsid w:val="2E7B6117"/>
    <w:rsid w:val="2E8D66D6"/>
    <w:rsid w:val="2E8E7EF9"/>
    <w:rsid w:val="2E953036"/>
    <w:rsid w:val="2E9A064C"/>
    <w:rsid w:val="2E9E279E"/>
    <w:rsid w:val="2EA2281D"/>
    <w:rsid w:val="2EBA2A9C"/>
    <w:rsid w:val="2ED33B5E"/>
    <w:rsid w:val="2EDC78F6"/>
    <w:rsid w:val="2F097580"/>
    <w:rsid w:val="2F154177"/>
    <w:rsid w:val="2F1D2C0F"/>
    <w:rsid w:val="2F266384"/>
    <w:rsid w:val="2F2E6FE6"/>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7D1FD3"/>
    <w:rsid w:val="30A12166"/>
    <w:rsid w:val="30A91F61"/>
    <w:rsid w:val="30AE4CCA"/>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A81635"/>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D131EC"/>
    <w:rsid w:val="36E061C9"/>
    <w:rsid w:val="36E86733"/>
    <w:rsid w:val="36F6663C"/>
    <w:rsid w:val="36F93436"/>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5B29A4"/>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001A0"/>
    <w:rsid w:val="3C131A08"/>
    <w:rsid w:val="3C1C08F2"/>
    <w:rsid w:val="3C265C15"/>
    <w:rsid w:val="3C3E7995"/>
    <w:rsid w:val="3C5A58BF"/>
    <w:rsid w:val="3C976161"/>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DB1ADB"/>
    <w:rsid w:val="3DE96EFA"/>
    <w:rsid w:val="3E22630A"/>
    <w:rsid w:val="3E4660FB"/>
    <w:rsid w:val="3E467DCB"/>
    <w:rsid w:val="3E483C21"/>
    <w:rsid w:val="3E612F34"/>
    <w:rsid w:val="3E687722"/>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A24034"/>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44030D"/>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5938BC"/>
    <w:rsid w:val="466435C2"/>
    <w:rsid w:val="467828CA"/>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AF6E53"/>
    <w:rsid w:val="4AB30D5B"/>
    <w:rsid w:val="4AB32D6A"/>
    <w:rsid w:val="4AB60164"/>
    <w:rsid w:val="4AC05487"/>
    <w:rsid w:val="4AC5484B"/>
    <w:rsid w:val="4ADB7BCB"/>
    <w:rsid w:val="4ADE1237"/>
    <w:rsid w:val="4ADE5503"/>
    <w:rsid w:val="4AEC627C"/>
    <w:rsid w:val="4AFB2A57"/>
    <w:rsid w:val="4B0C5FD6"/>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2F6EAD"/>
    <w:rsid w:val="50406E4E"/>
    <w:rsid w:val="50553F96"/>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481FEA"/>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35E52"/>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A48B3"/>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8D2FA6"/>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600D6620"/>
    <w:rsid w:val="601E082E"/>
    <w:rsid w:val="60213E7A"/>
    <w:rsid w:val="60686F62"/>
    <w:rsid w:val="607D004F"/>
    <w:rsid w:val="60883F6F"/>
    <w:rsid w:val="60A1099E"/>
    <w:rsid w:val="60B44CEE"/>
    <w:rsid w:val="60BC68A6"/>
    <w:rsid w:val="611B6B1B"/>
    <w:rsid w:val="612400C6"/>
    <w:rsid w:val="614442C4"/>
    <w:rsid w:val="61504A17"/>
    <w:rsid w:val="61564EDF"/>
    <w:rsid w:val="615D7134"/>
    <w:rsid w:val="61920923"/>
    <w:rsid w:val="61B74A96"/>
    <w:rsid w:val="61C77312"/>
    <w:rsid w:val="61CE31A0"/>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2018FB"/>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C0807"/>
    <w:rsid w:val="686D10E7"/>
    <w:rsid w:val="68701E42"/>
    <w:rsid w:val="68792AA5"/>
    <w:rsid w:val="688B20DC"/>
    <w:rsid w:val="688F22C8"/>
    <w:rsid w:val="68B7537B"/>
    <w:rsid w:val="68BC068D"/>
    <w:rsid w:val="68C510A7"/>
    <w:rsid w:val="68C63810"/>
    <w:rsid w:val="68E048D2"/>
    <w:rsid w:val="68EA39A3"/>
    <w:rsid w:val="68EB3277"/>
    <w:rsid w:val="68FB170C"/>
    <w:rsid w:val="690F1369"/>
    <w:rsid w:val="693B7D5A"/>
    <w:rsid w:val="693C11ED"/>
    <w:rsid w:val="69502FBA"/>
    <w:rsid w:val="69677233"/>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41DA4"/>
    <w:rsid w:val="6C07486C"/>
    <w:rsid w:val="6C2233F5"/>
    <w:rsid w:val="6C47019F"/>
    <w:rsid w:val="6C5D623A"/>
    <w:rsid w:val="6C68355C"/>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AA2F40"/>
    <w:rsid w:val="6EC9405A"/>
    <w:rsid w:val="6EE90259"/>
    <w:rsid w:val="6EED7D49"/>
    <w:rsid w:val="6EF50549"/>
    <w:rsid w:val="6F143527"/>
    <w:rsid w:val="6F22260E"/>
    <w:rsid w:val="6F307C36"/>
    <w:rsid w:val="6F4E5BE9"/>
    <w:rsid w:val="6F580DF0"/>
    <w:rsid w:val="6F7310C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86401E"/>
    <w:rsid w:val="7487479C"/>
    <w:rsid w:val="748B3D99"/>
    <w:rsid w:val="74B84955"/>
    <w:rsid w:val="74D55484"/>
    <w:rsid w:val="74E7348C"/>
    <w:rsid w:val="74F00593"/>
    <w:rsid w:val="74FB2A94"/>
    <w:rsid w:val="75001638"/>
    <w:rsid w:val="75047B9A"/>
    <w:rsid w:val="75061B64"/>
    <w:rsid w:val="75063912"/>
    <w:rsid w:val="75096F5F"/>
    <w:rsid w:val="754948E1"/>
    <w:rsid w:val="756643B1"/>
    <w:rsid w:val="757D46F3"/>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031AB5"/>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86B03"/>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C77DB2"/>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E35433"/>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1"/>
    <w:pPr>
      <w:spacing w:before="52"/>
      <w:ind w:left="100"/>
    </w:pPr>
    <w:rPr>
      <w:rFonts w:ascii="宋体" w:hAnsi="宋体" w:eastAsia="宋体" w:cs="宋体"/>
      <w:sz w:val="24"/>
      <w:szCs w:val="24"/>
      <w:lang w:val="zh-CN" w:eastAsia="zh-CN" w:bidi="zh-CN"/>
    </w:rPr>
  </w:style>
  <w:style w:type="paragraph" w:styleId="3">
    <w:name w:val="Body Text Indent"/>
    <w:basedOn w:val="1"/>
    <w:qFormat/>
    <w:uiPriority w:val="0"/>
    <w:pPr>
      <w:spacing w:line="500" w:lineRule="exact"/>
      <w:ind w:firstLine="480" w:firstLineChars="200"/>
    </w:pPr>
    <w:rPr>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w:basedOn w:val="2"/>
    <w:next w:val="1"/>
    <w:qFormat/>
    <w:uiPriority w:val="99"/>
    <w:pPr>
      <w:ind w:firstLine="420" w:firstLineChars="100"/>
    </w:pPr>
    <w:rPr>
      <w:kern w:val="0"/>
      <w:sz w:val="20"/>
      <w:szCs w:val="20"/>
    </w:rPr>
  </w:style>
  <w:style w:type="paragraph" w:styleId="9">
    <w:name w:val="Body Text First Indent 2"/>
    <w:basedOn w:val="3"/>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12638</Words>
  <Characters>13015</Characters>
  <Lines>74</Lines>
  <Paragraphs>20</Paragraphs>
  <TotalTime>5</TotalTime>
  <ScaleCrop>false</ScaleCrop>
  <LinksUpToDate>false</LinksUpToDate>
  <CharactersWithSpaces>14512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2026-09-08T02:35:38Z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AEB7491D1F27473FB5D8D55CB42C62D9_13</vt:lpwstr>
  </property>
  <property fmtid="{D5CDD505-2E9C-101B-9397-08002B2CF9AE}" pid="4" name="KSOTemplateDocerSaveRecord">
    <vt:lpwstr>eyJoZGlkIjoiZWY3YzVmZWRlOTZkZTAyYmRiYmYxNjRkOTE5OWVjNGEiLCJ1c2VySWQiOiIzODY3MjAwMTYifQ==</vt:lpwstr>
  </property>
</Properties>
</file>