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990BBD">
      <w:pPr>
        <w:jc w:val="both"/>
        <w:rPr>
          <w:rFonts w:hint="eastAsia" w:ascii="宋体" w:hAnsi="宋体"/>
          <w:b/>
          <w:color w:val="auto"/>
          <w:sz w:val="48"/>
        </w:rPr>
      </w:pPr>
    </w:p>
    <w:p w14:paraId="4E258170">
      <w:pPr>
        <w:jc w:val="center"/>
        <w:rPr>
          <w:rFonts w:hint="eastAsia" w:ascii="宋体" w:hAnsi="宋体"/>
          <w:b/>
          <w:color w:val="auto"/>
          <w:sz w:val="48"/>
        </w:rPr>
      </w:pPr>
    </w:p>
    <w:p w14:paraId="2637360D">
      <w:pPr>
        <w:jc w:val="center"/>
        <w:rPr>
          <w:rFonts w:hint="eastAsia" w:ascii="宋体" w:hAnsi="宋体"/>
          <w:b/>
          <w:color w:val="auto"/>
          <w:sz w:val="48"/>
        </w:rPr>
      </w:pPr>
    </w:p>
    <w:p w14:paraId="097FF6F3">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559435</wp:posOffset>
            </wp:positionH>
            <wp:positionV relativeFrom="paragraph">
              <wp:posOffset>384810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398B9BB8">
      <w:pPr>
        <w:jc w:val="center"/>
        <w:rPr>
          <w:rFonts w:hint="eastAsia" w:ascii="宋体" w:hAnsi="宋体"/>
          <w:b/>
          <w:color w:val="auto"/>
          <w:sz w:val="48"/>
        </w:rPr>
      </w:pPr>
    </w:p>
    <w:p w14:paraId="4E37A6F7">
      <w:pPr>
        <w:jc w:val="center"/>
        <w:rPr>
          <w:rFonts w:hint="eastAsia" w:ascii="宋体" w:hAnsi="宋体"/>
          <w:b/>
          <w:color w:val="auto"/>
          <w:sz w:val="48"/>
        </w:rPr>
      </w:pPr>
    </w:p>
    <w:p w14:paraId="266B90AF">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温州市龙湾区永中街道永强东路18号、20号一标段2间及二标段3间、三标段2间共二宗房产五年租赁权竞价文件</w:t>
      </w:r>
    </w:p>
    <w:p w14:paraId="07FAB935">
      <w:pPr>
        <w:jc w:val="center"/>
        <w:rPr>
          <w:rFonts w:hint="eastAsia" w:ascii="宋体" w:hAnsi="宋体"/>
          <w:b/>
          <w:bCs/>
          <w:color w:val="auto"/>
          <w:sz w:val="44"/>
          <w:szCs w:val="44"/>
          <w:lang w:val="en-US" w:eastAsia="zh-CN"/>
        </w:rPr>
      </w:pPr>
    </w:p>
    <w:p w14:paraId="15AFFE00">
      <w:pPr>
        <w:jc w:val="center"/>
        <w:rPr>
          <w:rFonts w:hint="eastAsia" w:ascii="宋体" w:hAnsi="宋体"/>
          <w:b/>
          <w:bCs/>
          <w:color w:val="auto"/>
          <w:sz w:val="44"/>
          <w:szCs w:val="44"/>
          <w:lang w:val="en-US" w:eastAsia="zh-CN"/>
        </w:rPr>
      </w:pPr>
    </w:p>
    <w:p w14:paraId="5BAAE1F8">
      <w:pPr>
        <w:jc w:val="center"/>
        <w:rPr>
          <w:rFonts w:hint="eastAsia" w:ascii="宋体" w:hAnsi="宋体"/>
          <w:b/>
          <w:bCs/>
          <w:color w:val="auto"/>
          <w:sz w:val="44"/>
          <w:szCs w:val="44"/>
          <w:lang w:val="en-US" w:eastAsia="zh-CN"/>
        </w:rPr>
      </w:pPr>
    </w:p>
    <w:p w14:paraId="07BC1B2F">
      <w:pPr>
        <w:jc w:val="center"/>
        <w:rPr>
          <w:rFonts w:hint="eastAsia" w:ascii="宋体" w:hAnsi="宋体"/>
          <w:b/>
          <w:bCs/>
          <w:color w:val="auto"/>
          <w:sz w:val="44"/>
          <w:szCs w:val="44"/>
          <w:lang w:val="en-US" w:eastAsia="zh-CN"/>
        </w:rPr>
      </w:pPr>
    </w:p>
    <w:p w14:paraId="7A6F0065">
      <w:pPr>
        <w:jc w:val="both"/>
        <w:rPr>
          <w:rFonts w:hint="eastAsia" w:ascii="宋体" w:hAnsi="宋体"/>
          <w:b/>
          <w:bCs/>
          <w:color w:val="auto"/>
          <w:sz w:val="44"/>
          <w:szCs w:val="44"/>
          <w:lang w:val="en-US" w:eastAsia="zh-CN"/>
        </w:rPr>
      </w:pPr>
    </w:p>
    <w:p w14:paraId="514CA1FC">
      <w:pPr>
        <w:jc w:val="center"/>
        <w:rPr>
          <w:rFonts w:hint="eastAsia" w:ascii="宋体" w:hAnsi="宋体"/>
          <w:b/>
          <w:bCs/>
          <w:color w:val="auto"/>
          <w:sz w:val="44"/>
          <w:szCs w:val="44"/>
          <w:lang w:val="en-US" w:eastAsia="zh-CN"/>
        </w:rPr>
      </w:pPr>
    </w:p>
    <w:p w14:paraId="33C53270">
      <w:pPr>
        <w:jc w:val="center"/>
        <w:rPr>
          <w:rFonts w:hint="eastAsia" w:ascii="宋体" w:hAnsi="宋体"/>
          <w:b/>
          <w:bCs/>
          <w:color w:val="auto"/>
          <w:sz w:val="44"/>
          <w:szCs w:val="44"/>
          <w:lang w:val="en-US" w:eastAsia="zh-CN"/>
        </w:rPr>
      </w:pPr>
    </w:p>
    <w:p w14:paraId="5A5B64F1">
      <w:pPr>
        <w:jc w:val="center"/>
        <w:rPr>
          <w:rFonts w:hint="eastAsia" w:ascii="宋体" w:hAnsi="宋体"/>
          <w:b/>
          <w:bCs/>
          <w:color w:val="auto"/>
          <w:sz w:val="44"/>
          <w:szCs w:val="44"/>
          <w:lang w:val="en-US" w:eastAsia="zh-CN"/>
        </w:rPr>
      </w:pPr>
    </w:p>
    <w:p w14:paraId="56477260">
      <w:pPr>
        <w:jc w:val="center"/>
        <w:rPr>
          <w:rFonts w:hint="eastAsia" w:ascii="宋体" w:hAnsi="宋体"/>
          <w:b/>
          <w:bCs/>
          <w:color w:val="auto"/>
          <w:sz w:val="44"/>
          <w:szCs w:val="44"/>
          <w:lang w:val="en-US" w:eastAsia="zh-CN"/>
        </w:rPr>
      </w:pPr>
    </w:p>
    <w:p w14:paraId="35805B6F">
      <w:pPr>
        <w:jc w:val="center"/>
        <w:rPr>
          <w:rFonts w:hint="eastAsia" w:ascii="宋体" w:hAnsi="宋体"/>
          <w:b/>
          <w:bCs/>
          <w:color w:val="auto"/>
          <w:sz w:val="44"/>
          <w:szCs w:val="44"/>
          <w:lang w:val="en-US" w:eastAsia="zh-CN"/>
        </w:rPr>
      </w:pPr>
    </w:p>
    <w:p w14:paraId="0E0EDF15">
      <w:pPr>
        <w:jc w:val="center"/>
        <w:rPr>
          <w:rFonts w:hint="eastAsia" w:ascii="宋体" w:hAnsi="宋体"/>
          <w:b/>
          <w:bCs/>
          <w:color w:val="auto"/>
          <w:sz w:val="44"/>
          <w:szCs w:val="44"/>
          <w:lang w:val="en-US" w:eastAsia="zh-CN"/>
        </w:rPr>
      </w:pPr>
    </w:p>
    <w:p w14:paraId="304EF0E4">
      <w:pPr>
        <w:jc w:val="both"/>
        <w:rPr>
          <w:rFonts w:hint="eastAsia" w:ascii="宋体" w:hAnsi="宋体"/>
          <w:b/>
          <w:bCs/>
          <w:color w:val="auto"/>
          <w:sz w:val="44"/>
          <w:szCs w:val="44"/>
          <w:lang w:val="en-US" w:eastAsia="zh-CN"/>
        </w:rPr>
      </w:pPr>
    </w:p>
    <w:p w14:paraId="72AAF1C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2A2A5241">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2026年10月10日</w:t>
      </w:r>
    </w:p>
    <w:p w14:paraId="5BD2D269">
      <w:pPr>
        <w:jc w:val="center"/>
        <w:rPr>
          <w:rFonts w:hint="eastAsia" w:ascii="宋体" w:hAnsi="宋体"/>
          <w:b/>
          <w:color w:val="auto"/>
          <w:sz w:val="48"/>
        </w:rPr>
      </w:pPr>
    </w:p>
    <w:p w14:paraId="77436762">
      <w:pPr>
        <w:jc w:val="center"/>
        <w:rPr>
          <w:rFonts w:hint="eastAsia" w:ascii="宋体" w:hAnsi="宋体"/>
          <w:b/>
          <w:color w:val="auto"/>
          <w:sz w:val="48"/>
        </w:rPr>
      </w:pPr>
      <w:r>
        <w:rPr>
          <w:rFonts w:hint="eastAsia" w:ascii="宋体" w:hAnsi="宋体"/>
          <w:b/>
          <w:color w:val="auto"/>
          <w:sz w:val="48"/>
        </w:rPr>
        <w:t>目  录</w:t>
      </w:r>
    </w:p>
    <w:p w14:paraId="318FC1DB">
      <w:pPr>
        <w:jc w:val="center"/>
        <w:rPr>
          <w:rFonts w:hint="eastAsia" w:ascii="宋体" w:hAnsi="宋体"/>
          <w:b/>
          <w:color w:val="auto"/>
          <w:sz w:val="48"/>
        </w:rPr>
      </w:pPr>
    </w:p>
    <w:p w14:paraId="14EAAD01">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C68223">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094A69DC">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06B74F46">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C58393C">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02FBB4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771230B">
      <w:pPr>
        <w:rPr>
          <w:rFonts w:hint="eastAsia" w:ascii="宋体" w:hAnsi="宋体"/>
          <w:color w:val="auto"/>
          <w:sz w:val="28"/>
        </w:rPr>
      </w:pPr>
    </w:p>
    <w:p w14:paraId="375F9FE9">
      <w:pPr>
        <w:rPr>
          <w:rFonts w:hint="eastAsia" w:ascii="宋体" w:hAnsi="宋体"/>
          <w:color w:val="auto"/>
          <w:sz w:val="28"/>
        </w:rPr>
      </w:pPr>
    </w:p>
    <w:p w14:paraId="6DCA24F8">
      <w:pPr>
        <w:rPr>
          <w:rFonts w:hint="eastAsia" w:ascii="宋体" w:hAnsi="宋体"/>
          <w:color w:val="auto"/>
          <w:sz w:val="28"/>
        </w:rPr>
      </w:pPr>
    </w:p>
    <w:p w14:paraId="31F9980E">
      <w:pPr>
        <w:rPr>
          <w:rFonts w:hint="eastAsia" w:ascii="宋体" w:hAnsi="宋体"/>
          <w:color w:val="auto"/>
          <w:sz w:val="28"/>
        </w:rPr>
      </w:pPr>
    </w:p>
    <w:p w14:paraId="461F2848">
      <w:pPr>
        <w:rPr>
          <w:rFonts w:hint="eastAsia" w:ascii="宋体" w:hAnsi="宋体"/>
          <w:color w:val="auto"/>
          <w:sz w:val="28"/>
        </w:rPr>
      </w:pPr>
    </w:p>
    <w:p w14:paraId="287A4EC7">
      <w:pPr>
        <w:rPr>
          <w:rFonts w:hint="eastAsia" w:ascii="宋体" w:hAnsi="宋体"/>
          <w:color w:val="auto"/>
          <w:sz w:val="28"/>
        </w:rPr>
      </w:pPr>
    </w:p>
    <w:p w14:paraId="32C48C1F">
      <w:pPr>
        <w:rPr>
          <w:rFonts w:hint="eastAsia" w:ascii="宋体" w:hAnsi="宋体"/>
          <w:color w:val="auto"/>
          <w:sz w:val="28"/>
        </w:rPr>
      </w:pPr>
    </w:p>
    <w:p w14:paraId="7325B2F5">
      <w:pPr>
        <w:rPr>
          <w:rFonts w:hint="eastAsia" w:ascii="宋体" w:hAnsi="宋体"/>
          <w:color w:val="auto"/>
          <w:sz w:val="28"/>
        </w:rPr>
      </w:pPr>
    </w:p>
    <w:p w14:paraId="7451D772">
      <w:pPr>
        <w:rPr>
          <w:rFonts w:hint="eastAsia" w:ascii="宋体" w:hAnsi="宋体"/>
          <w:color w:val="auto"/>
          <w:sz w:val="28"/>
        </w:rPr>
      </w:pPr>
    </w:p>
    <w:p w14:paraId="5593A320">
      <w:pPr>
        <w:rPr>
          <w:rFonts w:hint="eastAsia" w:ascii="宋体" w:hAnsi="宋体"/>
          <w:color w:val="auto"/>
          <w:sz w:val="28"/>
        </w:rPr>
      </w:pPr>
    </w:p>
    <w:p w14:paraId="6C34117E">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温州市龙湾区永中街道永强东路18号、20号一标段2间及二标段3间、三标段2间共二宗房产五年租赁权竞价公告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284480</wp:posOffset>
            </wp:positionH>
            <wp:positionV relativeFrom="paragraph">
              <wp:posOffset>433070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2026年10月19日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w:t>
      </w:r>
      <w:r>
        <w:rPr>
          <w:rFonts w:hint="eastAsia" w:ascii="宋体" w:hAnsi="宋体"/>
          <w:color w:val="auto"/>
          <w:sz w:val="24"/>
          <w:szCs w:val="24"/>
          <w:highlight w:val="none"/>
          <w:u w:val="none"/>
          <w:lang w:val="en-US" w:eastAsia="zh-CN"/>
        </w:rPr>
        <w:t>30分</w:t>
      </w:r>
      <w:r>
        <w:rPr>
          <w:rFonts w:hint="eastAsia" w:ascii="宋体" w:hAnsi="宋体"/>
          <w:color w:val="auto"/>
          <w:sz w:val="24"/>
          <w:szCs w:val="24"/>
          <w:highlight w:val="none"/>
          <w:u w:val="none"/>
        </w:rPr>
        <w:t>至</w:t>
      </w:r>
      <w:r>
        <w:rPr>
          <w:rFonts w:hint="eastAsia" w:ascii="宋体" w:hAnsi="宋体"/>
          <w:color w:val="auto"/>
          <w:sz w:val="24"/>
          <w:szCs w:val="24"/>
          <w:highlight w:val="none"/>
          <w:u w:val="none"/>
          <w:lang w:val="en-US" w:eastAsia="zh-CN"/>
        </w:rPr>
        <w:t>2026年10月20日上午10</w:t>
      </w:r>
      <w:r>
        <w:rPr>
          <w:rFonts w:hint="eastAsia" w:ascii="宋体" w:hAnsi="宋体"/>
          <w:color w:val="auto"/>
          <w:sz w:val="24"/>
          <w:szCs w:val="24"/>
          <w:highlight w:val="none"/>
          <w:u w:val="none"/>
        </w:rPr>
        <w:t>时</w:t>
      </w:r>
      <w:r>
        <w:rPr>
          <w:rFonts w:hint="eastAsia" w:ascii="宋体" w:hAnsi="宋体"/>
          <w:color w:val="auto"/>
          <w:sz w:val="24"/>
          <w:szCs w:val="24"/>
          <w:highlight w:val="none"/>
          <w:u w:val="none"/>
          <w:lang w:val="en-US" w:eastAsia="zh-CN"/>
        </w:rPr>
        <w:t>30分</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温州市龙湾区永中街道永强东路18号、20号一标段2间及二标段3间、三标段2间共二宗房产五年租赁权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53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4414"/>
        <w:gridCol w:w="1383"/>
        <w:gridCol w:w="1582"/>
        <w:gridCol w:w="1300"/>
        <w:gridCol w:w="1166"/>
      </w:tblGrid>
      <w:tr w14:paraId="46A04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jc w:val="center"/>
        </w:trPr>
        <w:tc>
          <w:tcPr>
            <w:tcW w:w="758"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414"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965" w:type="dxa"/>
            <w:gridSpan w:val="2"/>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00" w:type="dxa"/>
            <w:tcBorders>
              <w:top w:val="single" w:color="000000" w:sz="4" w:space="0"/>
              <w:left w:val="single" w:color="000000" w:sz="4" w:space="0"/>
              <w:bottom w:val="single" w:color="000000" w:sz="4" w:space="0"/>
              <w:right w:val="single" w:color="auto" w:sz="4" w:space="0"/>
            </w:tcBorders>
            <w:noWrap w:val="0"/>
            <w:vAlign w:val="center"/>
          </w:tcPr>
          <w:p w14:paraId="610CE132">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首年租金</w:t>
            </w:r>
          </w:p>
          <w:p w14:paraId="749B30C4">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rPr>
            </w:pPr>
            <w:r>
              <w:rPr>
                <w:rFonts w:hint="eastAsia" w:ascii="宋体" w:hAnsi="宋体" w:eastAsia="宋体" w:cs="宋体"/>
                <w:b/>
                <w:bCs w:val="0"/>
                <w:color w:val="000000"/>
                <w:kern w:val="2"/>
                <w:sz w:val="24"/>
                <w:szCs w:val="24"/>
                <w:highlight w:val="none"/>
                <w:lang w:val="en-US" w:eastAsia="zh-CN" w:bidi="ar"/>
              </w:rPr>
              <w:t>起始价</w:t>
            </w:r>
          </w:p>
        </w:tc>
        <w:tc>
          <w:tcPr>
            <w:tcW w:w="1166" w:type="dxa"/>
            <w:tcBorders>
              <w:top w:val="single" w:color="000000" w:sz="4" w:space="0"/>
              <w:left w:val="nil"/>
              <w:bottom w:val="single" w:color="000000" w:sz="4" w:space="0"/>
              <w:right w:val="single" w:color="auto" w:sz="4" w:space="0"/>
            </w:tcBorders>
            <w:noWrap w:val="0"/>
            <w:vAlign w:val="center"/>
          </w:tcPr>
          <w:p w14:paraId="0944927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3E8599D">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24C7B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758" w:type="dxa"/>
            <w:vMerge w:val="restart"/>
            <w:tcBorders>
              <w:top w:val="single" w:color="000000" w:sz="4" w:space="0"/>
              <w:left w:val="single" w:color="auto" w:sz="4" w:space="0"/>
              <w:right w:val="single" w:color="000000" w:sz="4" w:space="0"/>
            </w:tcBorders>
            <w:noWrap w:val="0"/>
            <w:vAlign w:val="center"/>
          </w:tcPr>
          <w:p w14:paraId="3AFA0B49">
            <w:pPr>
              <w:keepNext w:val="0"/>
              <w:keepLines w:val="0"/>
              <w:suppressLineNumbers w:val="0"/>
              <w:spacing w:before="0" w:beforeAutospacing="0" w:after="0" w:afterAutospacing="0" w:line="320" w:lineRule="exact"/>
              <w:ind w:left="0" w:right="0"/>
              <w:jc w:val="center"/>
              <w:rPr>
                <w:rFonts w:hint="eastAsia" w:ascii="Times New Roman" w:hAnsi="Times New Roman" w:eastAsia="楷体" w:cs="Times New Roman"/>
                <w:kern w:val="2"/>
                <w:sz w:val="24"/>
                <w:szCs w:val="24"/>
                <w:lang w:val="en-US" w:eastAsia="zh-CN" w:bidi="ar-SA"/>
              </w:rPr>
            </w:pPr>
            <w:r>
              <w:rPr>
                <w:rFonts w:hint="eastAsia" w:eastAsia="楷体" w:cstheme="minorBidi"/>
                <w:kern w:val="2"/>
                <w:sz w:val="24"/>
                <w:szCs w:val="24"/>
                <w:lang w:val="en-US" w:eastAsia="zh-CN" w:bidi="ar-SA"/>
              </w:rPr>
              <w:t>1</w:t>
            </w:r>
          </w:p>
        </w:tc>
        <w:tc>
          <w:tcPr>
            <w:tcW w:w="4414" w:type="dxa"/>
            <w:vMerge w:val="restart"/>
            <w:tcBorders>
              <w:top w:val="single" w:color="000000" w:sz="4" w:space="0"/>
              <w:left w:val="single" w:color="000000" w:sz="4" w:space="0"/>
              <w:right w:val="single" w:color="000000" w:sz="4" w:space="0"/>
            </w:tcBorders>
            <w:noWrap w:val="0"/>
            <w:vAlign w:val="center"/>
          </w:tcPr>
          <w:p w14:paraId="71352C7D">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温州市龙湾区永中街道永强东路18号、20号2间（一标段）及3间（二标段）房产五年租赁权</w:t>
            </w:r>
          </w:p>
        </w:tc>
        <w:tc>
          <w:tcPr>
            <w:tcW w:w="1383" w:type="dxa"/>
            <w:tcBorders>
              <w:top w:val="single" w:color="000000" w:sz="4" w:space="0"/>
              <w:left w:val="single" w:color="000000" w:sz="4" w:space="0"/>
              <w:bottom w:val="single" w:color="000000" w:sz="4" w:space="0"/>
              <w:right w:val="single" w:color="000000" w:sz="4" w:space="0"/>
            </w:tcBorders>
            <w:noWrap w:val="0"/>
            <w:vAlign w:val="center"/>
          </w:tcPr>
          <w:p w14:paraId="535C1BC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一标段2间</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14:paraId="5B23D9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约232.31㎡</w:t>
            </w:r>
          </w:p>
        </w:tc>
        <w:tc>
          <w:tcPr>
            <w:tcW w:w="1300" w:type="dxa"/>
            <w:vMerge w:val="restart"/>
            <w:tcBorders>
              <w:top w:val="single" w:color="000000" w:sz="4" w:space="0"/>
              <w:left w:val="single" w:color="000000" w:sz="4" w:space="0"/>
              <w:right w:val="single" w:color="auto" w:sz="4" w:space="0"/>
            </w:tcBorders>
            <w:noWrap w:val="0"/>
            <w:vAlign w:val="center"/>
          </w:tcPr>
          <w:p w14:paraId="67FA58C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286550</w:t>
            </w:r>
            <w:r>
              <w:rPr>
                <w:rFonts w:hint="eastAsia" w:ascii="宋体" w:hAnsi="宋体" w:cs="宋体"/>
                <w:i w:val="0"/>
                <w:iCs w:val="0"/>
                <w:color w:val="000000"/>
                <w:kern w:val="0"/>
                <w:sz w:val="24"/>
                <w:szCs w:val="24"/>
                <w:u w:val="none"/>
                <w:lang w:val="en-US" w:eastAsia="zh-CN" w:bidi="ar"/>
              </w:rPr>
              <w:t>元</w:t>
            </w:r>
          </w:p>
        </w:tc>
        <w:tc>
          <w:tcPr>
            <w:tcW w:w="1166" w:type="dxa"/>
            <w:vMerge w:val="restart"/>
            <w:tcBorders>
              <w:top w:val="single" w:color="000000" w:sz="4" w:space="0"/>
              <w:left w:val="nil"/>
              <w:right w:val="single" w:color="auto" w:sz="4" w:space="0"/>
            </w:tcBorders>
            <w:noWrap w:val="0"/>
            <w:vAlign w:val="center"/>
          </w:tcPr>
          <w:p w14:paraId="0F3691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cs="宋体"/>
                <w:i w:val="0"/>
                <w:iCs w:val="0"/>
                <w:color w:val="000000"/>
                <w:kern w:val="0"/>
                <w:sz w:val="24"/>
                <w:szCs w:val="24"/>
                <w:u w:val="none"/>
                <w:lang w:val="en-US" w:eastAsia="zh-CN" w:bidi="ar"/>
              </w:rPr>
              <w:t>28</w:t>
            </w:r>
            <w:r>
              <w:rPr>
                <w:rFonts w:hint="eastAsia" w:ascii="宋体" w:hAnsi="宋体" w:eastAsia="宋体" w:cs="宋体"/>
                <w:i w:val="0"/>
                <w:iCs w:val="0"/>
                <w:color w:val="000000"/>
                <w:kern w:val="0"/>
                <w:sz w:val="24"/>
                <w:szCs w:val="24"/>
                <w:u w:val="none"/>
                <w:lang w:val="en-US" w:eastAsia="zh-CN" w:bidi="ar"/>
              </w:rPr>
              <w:t>万元</w:t>
            </w:r>
          </w:p>
        </w:tc>
      </w:tr>
      <w:tr w14:paraId="14C03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758" w:type="dxa"/>
            <w:vMerge w:val="continue"/>
            <w:tcBorders>
              <w:left w:val="single" w:color="auto" w:sz="4" w:space="0"/>
              <w:right w:val="single" w:color="000000" w:sz="4" w:space="0"/>
            </w:tcBorders>
            <w:noWrap w:val="0"/>
            <w:vAlign w:val="center"/>
          </w:tcPr>
          <w:p w14:paraId="7571E247">
            <w:pPr>
              <w:keepNext w:val="0"/>
              <w:keepLines w:val="0"/>
              <w:widowControl/>
              <w:suppressLineNumbers w:val="0"/>
              <w:spacing w:before="0" w:beforeAutospacing="0" w:after="0" w:afterAutospacing="0"/>
              <w:ind w:left="0" w:right="0"/>
              <w:jc w:val="center"/>
              <w:rPr>
                <w:rFonts w:hint="default"/>
                <w:szCs w:val="20"/>
              </w:rPr>
            </w:pPr>
          </w:p>
        </w:tc>
        <w:tc>
          <w:tcPr>
            <w:tcW w:w="4414" w:type="dxa"/>
            <w:vMerge w:val="continue"/>
            <w:tcBorders>
              <w:left w:val="single" w:color="000000" w:sz="4" w:space="0"/>
              <w:right w:val="single" w:color="000000" w:sz="4" w:space="0"/>
            </w:tcBorders>
            <w:noWrap w:val="0"/>
            <w:vAlign w:val="center"/>
          </w:tcPr>
          <w:p w14:paraId="07C22EF9">
            <w:pPr>
              <w:keepNext w:val="0"/>
              <w:keepLines w:val="0"/>
              <w:widowControl/>
              <w:suppressLineNumbers w:val="0"/>
              <w:spacing w:before="0" w:beforeAutospacing="0" w:after="0" w:afterAutospacing="0"/>
              <w:ind w:left="0" w:right="0"/>
              <w:jc w:val="center"/>
              <w:rPr>
                <w:rFonts w:hint="default"/>
                <w:szCs w:val="20"/>
              </w:rPr>
            </w:pPr>
          </w:p>
        </w:tc>
        <w:tc>
          <w:tcPr>
            <w:tcW w:w="1383" w:type="dxa"/>
            <w:tcBorders>
              <w:top w:val="single" w:color="000000" w:sz="4" w:space="0"/>
              <w:left w:val="single" w:color="000000" w:sz="4" w:space="0"/>
              <w:bottom w:val="single" w:color="000000" w:sz="4" w:space="0"/>
              <w:right w:val="single" w:color="000000" w:sz="4" w:space="0"/>
            </w:tcBorders>
            <w:noWrap w:val="0"/>
            <w:vAlign w:val="center"/>
          </w:tcPr>
          <w:p w14:paraId="372A9CED">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eastAsia="宋体" w:cs="宋体"/>
                <w:i w:val="0"/>
                <w:iCs w:val="0"/>
                <w:color w:val="000000"/>
                <w:kern w:val="0"/>
                <w:sz w:val="24"/>
                <w:szCs w:val="24"/>
                <w:u w:val="none"/>
                <w:lang w:val="en-US" w:eastAsia="zh-CN" w:bidi="ar"/>
              </w:rPr>
              <w:t>二标段3间</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14:paraId="490EB92A">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eastAsia="宋体" w:cs="宋体"/>
                <w:i w:val="0"/>
                <w:iCs w:val="0"/>
                <w:color w:val="000000"/>
                <w:kern w:val="0"/>
                <w:sz w:val="24"/>
                <w:szCs w:val="24"/>
                <w:u w:val="none"/>
                <w:lang w:val="en-US" w:eastAsia="zh-CN" w:bidi="ar"/>
              </w:rPr>
              <w:t>约294.74㎡</w:t>
            </w:r>
          </w:p>
        </w:tc>
        <w:tc>
          <w:tcPr>
            <w:tcW w:w="1300" w:type="dxa"/>
            <w:vMerge w:val="continue"/>
            <w:tcBorders>
              <w:left w:val="single" w:color="000000" w:sz="4" w:space="0"/>
              <w:right w:val="single" w:color="auto" w:sz="4" w:space="0"/>
            </w:tcBorders>
            <w:noWrap w:val="0"/>
            <w:vAlign w:val="center"/>
          </w:tcPr>
          <w:p w14:paraId="3BA2B64C">
            <w:pPr>
              <w:keepNext w:val="0"/>
              <w:keepLines w:val="0"/>
              <w:widowControl/>
              <w:suppressLineNumbers w:val="0"/>
              <w:spacing w:before="0" w:beforeAutospacing="0" w:after="0" w:afterAutospacing="0"/>
              <w:ind w:left="0" w:right="0"/>
              <w:jc w:val="center"/>
              <w:rPr>
                <w:rFonts w:hint="default"/>
                <w:szCs w:val="20"/>
              </w:rPr>
            </w:pPr>
          </w:p>
        </w:tc>
        <w:tc>
          <w:tcPr>
            <w:tcW w:w="1166" w:type="dxa"/>
            <w:vMerge w:val="continue"/>
            <w:tcBorders>
              <w:left w:val="nil"/>
              <w:right w:val="single" w:color="auto" w:sz="4" w:space="0"/>
            </w:tcBorders>
            <w:noWrap w:val="0"/>
            <w:vAlign w:val="center"/>
          </w:tcPr>
          <w:p w14:paraId="55237AC8">
            <w:pPr>
              <w:keepNext w:val="0"/>
              <w:keepLines w:val="0"/>
              <w:widowControl/>
              <w:suppressLineNumbers w:val="0"/>
              <w:spacing w:before="0" w:beforeAutospacing="0" w:after="0" w:afterAutospacing="0"/>
              <w:ind w:left="0" w:right="0"/>
              <w:jc w:val="center"/>
              <w:rPr>
                <w:rFonts w:hint="default"/>
                <w:szCs w:val="20"/>
              </w:rPr>
            </w:pPr>
          </w:p>
        </w:tc>
      </w:tr>
      <w:tr w14:paraId="7CFA8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758" w:type="dxa"/>
            <w:vMerge w:val="continue"/>
            <w:tcBorders>
              <w:left w:val="single" w:color="auto" w:sz="4" w:space="0"/>
              <w:right w:val="single" w:color="000000" w:sz="4" w:space="0"/>
            </w:tcBorders>
            <w:noWrap w:val="0"/>
            <w:vAlign w:val="center"/>
          </w:tcPr>
          <w:p w14:paraId="105CABEE">
            <w:pPr>
              <w:keepNext w:val="0"/>
              <w:keepLines w:val="0"/>
              <w:widowControl/>
              <w:suppressLineNumbers w:val="0"/>
              <w:spacing w:before="0" w:beforeAutospacing="0" w:after="0" w:afterAutospacing="0"/>
              <w:ind w:left="0" w:right="0"/>
              <w:jc w:val="center"/>
              <w:rPr>
                <w:rFonts w:hint="default"/>
                <w:szCs w:val="20"/>
              </w:rPr>
            </w:pPr>
          </w:p>
        </w:tc>
        <w:tc>
          <w:tcPr>
            <w:tcW w:w="4414" w:type="dxa"/>
            <w:vMerge w:val="continue"/>
            <w:tcBorders>
              <w:left w:val="single" w:color="000000" w:sz="4" w:space="0"/>
              <w:right w:val="single" w:color="000000" w:sz="4" w:space="0"/>
            </w:tcBorders>
            <w:noWrap w:val="0"/>
            <w:vAlign w:val="center"/>
          </w:tcPr>
          <w:p w14:paraId="4C16E078">
            <w:pPr>
              <w:keepNext w:val="0"/>
              <w:keepLines w:val="0"/>
              <w:widowControl/>
              <w:suppressLineNumbers w:val="0"/>
              <w:spacing w:before="0" w:beforeAutospacing="0" w:after="0" w:afterAutospacing="0"/>
              <w:ind w:left="0" w:right="0"/>
              <w:jc w:val="center"/>
              <w:rPr>
                <w:rFonts w:hint="default"/>
                <w:szCs w:val="20"/>
              </w:rPr>
            </w:pPr>
          </w:p>
        </w:tc>
        <w:tc>
          <w:tcPr>
            <w:tcW w:w="1383" w:type="dxa"/>
            <w:tcBorders>
              <w:top w:val="single" w:color="000000" w:sz="4" w:space="0"/>
              <w:left w:val="single" w:color="000000" w:sz="4" w:space="0"/>
              <w:bottom w:val="single" w:color="000000" w:sz="4" w:space="0"/>
              <w:right w:val="single" w:color="000000" w:sz="4" w:space="0"/>
            </w:tcBorders>
            <w:noWrap w:val="0"/>
            <w:vAlign w:val="center"/>
          </w:tcPr>
          <w:p w14:paraId="0A09451C">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sz w:val="24"/>
                <w:szCs w:val="24"/>
                <w:lang w:val="en-US" w:eastAsia="zh-CN"/>
              </w:rPr>
              <w:t>合计</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14:paraId="75E85282">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eastAsia="宋体" w:cs="宋体"/>
                <w:i w:val="0"/>
                <w:iCs w:val="0"/>
                <w:color w:val="000000"/>
                <w:kern w:val="0"/>
                <w:sz w:val="24"/>
                <w:szCs w:val="24"/>
                <w:u w:val="none"/>
                <w:lang w:val="en-US" w:eastAsia="zh-CN" w:bidi="ar"/>
              </w:rPr>
              <w:t>约527.05㎡</w:t>
            </w:r>
          </w:p>
        </w:tc>
        <w:tc>
          <w:tcPr>
            <w:tcW w:w="1300" w:type="dxa"/>
            <w:vMerge w:val="continue"/>
            <w:tcBorders>
              <w:left w:val="single" w:color="000000" w:sz="4" w:space="0"/>
              <w:right w:val="single" w:color="auto" w:sz="4" w:space="0"/>
            </w:tcBorders>
            <w:noWrap w:val="0"/>
            <w:vAlign w:val="center"/>
          </w:tcPr>
          <w:p w14:paraId="30F53412">
            <w:pPr>
              <w:keepNext w:val="0"/>
              <w:keepLines w:val="0"/>
              <w:widowControl/>
              <w:suppressLineNumbers w:val="0"/>
              <w:spacing w:before="0" w:beforeAutospacing="0" w:after="0" w:afterAutospacing="0"/>
              <w:ind w:left="0" w:right="0"/>
              <w:jc w:val="center"/>
              <w:rPr>
                <w:rFonts w:hint="default"/>
                <w:szCs w:val="20"/>
              </w:rPr>
            </w:pPr>
          </w:p>
        </w:tc>
        <w:tc>
          <w:tcPr>
            <w:tcW w:w="1166" w:type="dxa"/>
            <w:vMerge w:val="continue"/>
            <w:tcBorders>
              <w:left w:val="nil"/>
              <w:right w:val="single" w:color="auto" w:sz="4" w:space="0"/>
            </w:tcBorders>
            <w:noWrap w:val="0"/>
            <w:vAlign w:val="center"/>
          </w:tcPr>
          <w:p w14:paraId="5FC75AF9">
            <w:pPr>
              <w:keepNext w:val="0"/>
              <w:keepLines w:val="0"/>
              <w:widowControl/>
              <w:suppressLineNumbers w:val="0"/>
              <w:spacing w:before="0" w:beforeAutospacing="0" w:after="0" w:afterAutospacing="0"/>
              <w:ind w:left="0" w:right="0"/>
              <w:jc w:val="center"/>
              <w:rPr>
                <w:rFonts w:hint="default"/>
                <w:szCs w:val="20"/>
              </w:rPr>
            </w:pPr>
          </w:p>
        </w:tc>
      </w:tr>
      <w:tr w14:paraId="2CD55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9" w:hRule="atLeast"/>
          <w:jc w:val="center"/>
        </w:trPr>
        <w:tc>
          <w:tcPr>
            <w:tcW w:w="758" w:type="dxa"/>
            <w:tcBorders>
              <w:top w:val="single" w:color="000000" w:sz="4" w:space="0"/>
              <w:left w:val="single" w:color="auto" w:sz="4" w:space="0"/>
              <w:right w:val="single" w:color="000000" w:sz="4" w:space="0"/>
            </w:tcBorders>
            <w:noWrap w:val="0"/>
            <w:vAlign w:val="center"/>
          </w:tcPr>
          <w:p w14:paraId="1E8A95F0">
            <w:pPr>
              <w:keepNext w:val="0"/>
              <w:keepLines w:val="0"/>
              <w:suppressLineNumbers w:val="0"/>
              <w:spacing w:before="0" w:beforeAutospacing="0" w:after="0" w:afterAutospacing="0" w:line="320" w:lineRule="exact"/>
              <w:ind w:left="0" w:right="0"/>
              <w:jc w:val="center"/>
              <w:rPr>
                <w:rFonts w:hint="eastAsia" w:ascii="Times New Roman" w:hAnsi="Times New Roman" w:eastAsia="楷体" w:cs="Times New Roman"/>
                <w:kern w:val="2"/>
                <w:sz w:val="24"/>
                <w:szCs w:val="24"/>
                <w:lang w:val="en-US" w:eastAsia="zh-CN" w:bidi="ar-SA"/>
              </w:rPr>
            </w:pPr>
            <w:r>
              <w:rPr>
                <w:rFonts w:hint="eastAsia" w:eastAsia="楷体" w:cstheme="minorBidi"/>
                <w:kern w:val="2"/>
                <w:sz w:val="24"/>
                <w:szCs w:val="24"/>
                <w:lang w:val="en-US" w:eastAsia="zh-CN" w:bidi="ar-SA"/>
              </w:rPr>
              <w:t>2</w:t>
            </w:r>
          </w:p>
        </w:tc>
        <w:tc>
          <w:tcPr>
            <w:tcW w:w="4414" w:type="dxa"/>
            <w:tcBorders>
              <w:top w:val="single" w:color="000000" w:sz="4" w:space="0"/>
              <w:left w:val="single" w:color="000000" w:sz="4" w:space="0"/>
              <w:right w:val="single" w:color="000000" w:sz="4" w:space="0"/>
            </w:tcBorders>
            <w:noWrap w:val="0"/>
            <w:vAlign w:val="center"/>
          </w:tcPr>
          <w:p w14:paraId="1DD6FD4A">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温州市龙湾区永中街道永强东路18号、20号（三标段）2间房产五年租赁权</w:t>
            </w:r>
          </w:p>
        </w:tc>
        <w:tc>
          <w:tcPr>
            <w:tcW w:w="2965" w:type="dxa"/>
            <w:gridSpan w:val="2"/>
            <w:tcBorders>
              <w:top w:val="single" w:color="000000" w:sz="4" w:space="0"/>
              <w:left w:val="single" w:color="000000" w:sz="4" w:space="0"/>
              <w:bottom w:val="single" w:color="000000" w:sz="4" w:space="0"/>
              <w:right w:val="single" w:color="000000" w:sz="4" w:space="0"/>
            </w:tcBorders>
            <w:noWrap w:val="0"/>
            <w:vAlign w:val="center"/>
          </w:tcPr>
          <w:p w14:paraId="6C4AA603">
            <w:pPr>
              <w:keepNext w:val="0"/>
              <w:keepLines w:val="0"/>
              <w:widowControl/>
              <w:suppressLineNumbers w:val="0"/>
              <w:spacing w:before="0" w:beforeAutospacing="0" w:after="0" w:afterAutospacing="0"/>
              <w:ind w:left="0" w:right="0"/>
              <w:jc w:val="center"/>
              <w:rPr>
                <w:rFonts w:hint="default"/>
                <w:szCs w:val="20"/>
              </w:rPr>
            </w:pPr>
            <w:r>
              <w:rPr>
                <w:rFonts w:hint="eastAsia" w:ascii="宋体" w:hAnsi="宋体" w:eastAsia="宋体" w:cs="宋体"/>
                <w:i w:val="0"/>
                <w:iCs w:val="0"/>
                <w:color w:val="000000"/>
                <w:kern w:val="0"/>
                <w:sz w:val="24"/>
                <w:szCs w:val="24"/>
                <w:u w:val="none"/>
                <w:lang w:val="en-US" w:eastAsia="zh-CN" w:bidi="ar"/>
              </w:rPr>
              <w:t>约222.64㎡</w:t>
            </w:r>
          </w:p>
        </w:tc>
        <w:tc>
          <w:tcPr>
            <w:tcW w:w="1300" w:type="dxa"/>
            <w:tcBorders>
              <w:top w:val="single" w:color="000000" w:sz="4" w:space="0"/>
              <w:left w:val="single" w:color="000000" w:sz="4" w:space="0"/>
              <w:right w:val="single" w:color="auto" w:sz="4" w:space="0"/>
            </w:tcBorders>
            <w:noWrap w:val="0"/>
            <w:vAlign w:val="center"/>
          </w:tcPr>
          <w:p w14:paraId="0BAFDF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121100</w:t>
            </w:r>
            <w:r>
              <w:rPr>
                <w:rFonts w:hint="eastAsia" w:ascii="宋体" w:hAnsi="宋体" w:cs="宋体"/>
                <w:i w:val="0"/>
                <w:iCs w:val="0"/>
                <w:color w:val="000000"/>
                <w:kern w:val="0"/>
                <w:sz w:val="24"/>
                <w:szCs w:val="24"/>
                <w:u w:val="none"/>
                <w:lang w:val="en-US" w:eastAsia="zh-CN" w:bidi="ar"/>
              </w:rPr>
              <w:t>元</w:t>
            </w:r>
          </w:p>
        </w:tc>
        <w:tc>
          <w:tcPr>
            <w:tcW w:w="1166" w:type="dxa"/>
            <w:tcBorders>
              <w:top w:val="single" w:color="000000" w:sz="4" w:space="0"/>
              <w:left w:val="nil"/>
              <w:right w:val="single" w:color="auto" w:sz="4" w:space="0"/>
            </w:tcBorders>
            <w:noWrap w:val="0"/>
            <w:vAlign w:val="center"/>
          </w:tcPr>
          <w:p w14:paraId="63E5A3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w:t>
            </w:r>
            <w:r>
              <w:rPr>
                <w:rFonts w:hint="eastAsia" w:ascii="宋体" w:hAnsi="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万元</w:t>
            </w:r>
          </w:p>
        </w:tc>
      </w:tr>
      <w:tr w14:paraId="25EC8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5" w:hRule="atLeast"/>
          <w:jc w:val="center"/>
        </w:trPr>
        <w:tc>
          <w:tcPr>
            <w:tcW w:w="10603" w:type="dxa"/>
            <w:gridSpan w:val="6"/>
            <w:tcBorders>
              <w:top w:val="single" w:color="000000" w:sz="4" w:space="0"/>
              <w:left w:val="single" w:color="auto" w:sz="4" w:space="0"/>
              <w:bottom w:val="single" w:color="000000" w:sz="4" w:space="0"/>
              <w:right w:val="single" w:color="auto" w:sz="4" w:space="0"/>
            </w:tcBorders>
            <w:noWrap w:val="0"/>
            <w:vAlign w:val="center"/>
          </w:tcPr>
          <w:p w14:paraId="4631A56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注：1.租期5年，租金（不含税）一年一付，先付后用，第1-3年租金为竞价成交价，第4-5年租金在第3年租金的基础上逐年递增5%。</w:t>
            </w:r>
          </w:p>
          <w:p w14:paraId="26832DC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eastAsia="宋体" w:cs="宋体"/>
                <w:bCs/>
                <w:kern w:val="2"/>
                <w:sz w:val="24"/>
                <w:szCs w:val="24"/>
                <w:highlight w:val="none"/>
                <w:lang w:val="en-US" w:eastAsia="zh-CN" w:bidi="ar"/>
              </w:rPr>
              <w:t>原承租人在同等条件下享有优先权，若原承租人未成功竞得标的，则给予腾空期1个月（自成交之日起），不计租金及租期。</w:t>
            </w:r>
          </w:p>
          <w:p w14:paraId="4645724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3.</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C728D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74B7A7CA">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个人凭本人身份证，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3"/>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沧河村2宗</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cs="Times New Roman"/>
          <w:b/>
          <w:bCs/>
          <w:color w:val="auto"/>
          <w:sz w:val="24"/>
          <w:szCs w:val="24"/>
          <w:highlight w:val="none"/>
          <w:u w:val="none"/>
          <w:lang w:val="en-US" w:eastAsia="zh-CN"/>
        </w:rPr>
        <w:t>（标的编号）</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为</w:t>
      </w:r>
      <w:r>
        <w:rPr>
          <w:rFonts w:hint="eastAsia" w:ascii="宋体" w:hAnsi="宋体" w:eastAsia="宋体" w:cs="Times New Roman"/>
          <w:color w:val="auto"/>
          <w:sz w:val="24"/>
          <w:szCs w:val="24"/>
          <w:highlight w:val="none"/>
          <w:u w:val="none"/>
          <w:lang w:val="en-US" w:eastAsia="zh-CN"/>
        </w:rPr>
        <w:t>首年租金成交价的20%（取整数）/标的。</w:t>
      </w:r>
    </w:p>
    <w:p w14:paraId="2103A2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16</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3334CA40">
      <w:pPr>
        <w:pStyle w:val="3"/>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3"/>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3"/>
        <w:ind w:left="0" w:leftChars="0" w:firstLine="883" w:firstLineChars="200"/>
        <w:rPr>
          <w:rFonts w:hint="eastAsia" w:ascii="宋体" w:hAnsi="宋体" w:eastAsia="宋体" w:cs="Times New Roman"/>
          <w:color w:val="auto"/>
          <w:sz w:val="24"/>
          <w:szCs w:val="24"/>
          <w:highlight w:val="none"/>
          <w:lang w:eastAsia="zh-CN"/>
        </w:rPr>
      </w:pP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294640</wp:posOffset>
            </wp:positionH>
            <wp:positionV relativeFrom="paragraph">
              <wp:posOffset>189230</wp:posOffset>
            </wp:positionV>
            <wp:extent cx="5271770" cy="5833110"/>
            <wp:effectExtent l="0" t="0" r="5080" b="15240"/>
            <wp:wrapNone/>
            <wp:docPr id="2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温州市龙湾区永中街道沧河村股份经济合作社</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2026年10月10日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2F111911">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eastAsia="宋体"/>
          <w:color w:val="auto"/>
          <w:sz w:val="24"/>
          <w:szCs w:val="24"/>
          <w:highlight w:val="none"/>
          <w:lang w:val="en-US" w:eastAsia="zh-CN"/>
        </w:rPr>
      </w:pPr>
      <w:r>
        <w:rPr>
          <w:rFonts w:hint="eastAsia"/>
          <w:color w:val="auto"/>
          <w:sz w:val="24"/>
          <w:szCs w:val="24"/>
          <w:highlight w:val="none"/>
          <w:lang w:val="en-US" w:eastAsia="zh-CN"/>
        </w:rPr>
        <w:t>二</w:t>
      </w:r>
      <w:r>
        <w:rPr>
          <w:rFonts w:hint="eastAsia"/>
          <w:color w:val="auto"/>
          <w:sz w:val="24"/>
          <w:szCs w:val="24"/>
          <w:highlight w:val="none"/>
        </w:rPr>
        <w:t>、</w:t>
      </w:r>
      <w:r>
        <w:rPr>
          <w:rFonts w:hint="eastAsia"/>
          <w:color w:val="auto"/>
          <w:sz w:val="24"/>
          <w:szCs w:val="24"/>
          <w:highlight w:val="none"/>
          <w:lang w:eastAsia="zh-CN"/>
        </w:rPr>
        <w:t>本次竞价会采用“上不封顶，下保底价”的增价竞价方式，页面将显示起始价，竞价人根据操作提示应价，每档加价幅度以操作页面规定为准。成交方式：无人再次加价且竞价时间倒计时结束，则应价最高者成交。在竞价中，竞价人一经应价，不得撤回，当其他竞价人有更高应价时，其应价即丧失约束力</w:t>
      </w:r>
      <w:r>
        <w:rPr>
          <w:rFonts w:hint="eastAsia"/>
          <w:color w:val="auto"/>
          <w:sz w:val="24"/>
          <w:szCs w:val="24"/>
          <w:highlight w:val="none"/>
          <w:lang w:val="en-US" w:eastAsia="zh-CN"/>
        </w:rPr>
        <w:t>。</w:t>
      </w:r>
    </w:p>
    <w:p w14:paraId="7B180C68">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如只征集到</w:t>
      </w:r>
      <w:r>
        <w:rPr>
          <w:rFonts w:hint="eastAsia" w:ascii="宋体" w:hAnsi="宋体" w:eastAsia="宋体" w:cs="宋体"/>
          <w:color w:val="auto"/>
          <w:sz w:val="24"/>
          <w:szCs w:val="24"/>
          <w:highlight w:val="none"/>
          <w:lang w:eastAsia="zh-CN"/>
        </w:rPr>
        <w:t>一家竞价人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可按首年租金起始价</w:t>
      </w:r>
      <w:r>
        <w:rPr>
          <w:rFonts w:hint="eastAsia" w:ascii="宋体" w:hAnsi="宋体" w:eastAsia="宋体" w:cs="宋体"/>
          <w:color w:val="auto"/>
          <w:sz w:val="24"/>
          <w:szCs w:val="24"/>
          <w:highlight w:val="none"/>
          <w:lang w:eastAsia="zh-CN"/>
        </w:rPr>
        <w:t>成交。</w:t>
      </w:r>
    </w:p>
    <w:p w14:paraId="563AFBF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原承租人在同等条件下享有优先权，行权方式为过程行权。</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245745</wp:posOffset>
            </wp:positionH>
            <wp:positionV relativeFrom="paragraph">
              <wp:posOffset>-4318635</wp:posOffset>
            </wp:positionV>
            <wp:extent cx="5271770" cy="5833110"/>
            <wp:effectExtent l="0" t="0" r="5080" b="15240"/>
            <wp:wrapNone/>
            <wp:docPr id="2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sz w:val="24"/>
          <w:szCs w:val="24"/>
          <w:highlight w:val="none"/>
          <w:lang w:eastAsia="zh-CN"/>
        </w:rPr>
        <w:t>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2026年10月10日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333375</wp:posOffset>
                </wp:positionH>
                <wp:positionV relativeFrom="paragraph">
                  <wp:posOffset>35560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26.25pt;margin-top:2.8pt;height:78.3pt;width:461.4pt;z-index:251667456;mso-width-relative:page;mso-height-relative:page;" fillcolor="#FFFFFF" filled="t" stroked="t" coordsize="21600,21600" o:gfxdata="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iBHir2AAAAAg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169AE66">
      <w:pPr>
        <w:spacing w:line="360" w:lineRule="auto"/>
        <w:jc w:val="center"/>
        <w:rPr>
          <w:rFonts w:hint="eastAsia"/>
          <w:b/>
          <w:color w:val="auto"/>
          <w:sz w:val="36"/>
          <w:szCs w:val="36"/>
          <w:highlight w:val="none"/>
        </w:rPr>
      </w:pPr>
    </w:p>
    <w:p w14:paraId="2532AB54">
      <w:pPr>
        <w:spacing w:line="360" w:lineRule="auto"/>
        <w:jc w:val="center"/>
        <w:rPr>
          <w:rFonts w:hint="eastAsia"/>
          <w:b/>
          <w:color w:val="auto"/>
          <w:sz w:val="36"/>
          <w:szCs w:val="36"/>
          <w:highlight w:val="none"/>
        </w:rPr>
      </w:pP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848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2026年10月19日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温州市龙湾区永中街道沧河村股份经济合作社</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53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4414"/>
        <w:gridCol w:w="1383"/>
        <w:gridCol w:w="1582"/>
        <w:gridCol w:w="1300"/>
        <w:gridCol w:w="1166"/>
      </w:tblGrid>
      <w:tr w14:paraId="18D4A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jc w:val="center"/>
        </w:trPr>
        <w:tc>
          <w:tcPr>
            <w:tcW w:w="758" w:type="dxa"/>
            <w:tcBorders>
              <w:top w:val="single" w:color="000000" w:sz="4" w:space="0"/>
              <w:left w:val="single" w:color="auto" w:sz="4" w:space="0"/>
              <w:bottom w:val="single" w:color="000000" w:sz="4" w:space="0"/>
              <w:right w:val="single" w:color="000000" w:sz="4" w:space="0"/>
            </w:tcBorders>
            <w:noWrap w:val="0"/>
            <w:vAlign w:val="center"/>
          </w:tcPr>
          <w:p w14:paraId="1D52D4EE">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414" w:type="dxa"/>
            <w:tcBorders>
              <w:top w:val="single" w:color="000000" w:sz="4" w:space="0"/>
              <w:left w:val="single" w:color="000000" w:sz="4" w:space="0"/>
              <w:bottom w:val="single" w:color="000000" w:sz="4" w:space="0"/>
              <w:right w:val="single" w:color="000000" w:sz="4" w:space="0"/>
            </w:tcBorders>
            <w:noWrap w:val="0"/>
            <w:vAlign w:val="center"/>
          </w:tcPr>
          <w:p w14:paraId="7AB6733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965" w:type="dxa"/>
            <w:gridSpan w:val="2"/>
            <w:tcBorders>
              <w:top w:val="single" w:color="000000" w:sz="4" w:space="0"/>
              <w:left w:val="single" w:color="000000" w:sz="4" w:space="0"/>
              <w:bottom w:val="single" w:color="000000" w:sz="4" w:space="0"/>
              <w:right w:val="single" w:color="000000" w:sz="4" w:space="0"/>
            </w:tcBorders>
            <w:noWrap w:val="0"/>
            <w:vAlign w:val="center"/>
          </w:tcPr>
          <w:p w14:paraId="2F1978E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00" w:type="dxa"/>
            <w:tcBorders>
              <w:top w:val="single" w:color="000000" w:sz="4" w:space="0"/>
              <w:left w:val="single" w:color="000000" w:sz="4" w:space="0"/>
              <w:bottom w:val="single" w:color="000000" w:sz="4" w:space="0"/>
              <w:right w:val="single" w:color="auto" w:sz="4" w:space="0"/>
            </w:tcBorders>
            <w:noWrap w:val="0"/>
            <w:vAlign w:val="center"/>
          </w:tcPr>
          <w:p w14:paraId="789E817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首年租金</w:t>
            </w:r>
          </w:p>
          <w:p w14:paraId="28072461">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rPr>
            </w:pPr>
            <w:r>
              <w:rPr>
                <w:rFonts w:hint="eastAsia" w:ascii="宋体" w:hAnsi="宋体" w:eastAsia="宋体" w:cs="宋体"/>
                <w:b/>
                <w:bCs w:val="0"/>
                <w:color w:val="000000"/>
                <w:kern w:val="2"/>
                <w:sz w:val="24"/>
                <w:szCs w:val="24"/>
                <w:highlight w:val="none"/>
                <w:lang w:val="en-US" w:eastAsia="zh-CN" w:bidi="ar"/>
              </w:rPr>
              <w:t>起始价</w:t>
            </w:r>
          </w:p>
        </w:tc>
        <w:tc>
          <w:tcPr>
            <w:tcW w:w="1166" w:type="dxa"/>
            <w:tcBorders>
              <w:top w:val="single" w:color="000000" w:sz="4" w:space="0"/>
              <w:left w:val="nil"/>
              <w:bottom w:val="single" w:color="000000" w:sz="4" w:space="0"/>
              <w:right w:val="single" w:color="auto" w:sz="4" w:space="0"/>
            </w:tcBorders>
            <w:noWrap w:val="0"/>
            <w:vAlign w:val="center"/>
          </w:tcPr>
          <w:p w14:paraId="6EB46B9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FCFEC09">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607B3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758" w:type="dxa"/>
            <w:vMerge w:val="restart"/>
            <w:tcBorders>
              <w:top w:val="single" w:color="000000" w:sz="4" w:space="0"/>
              <w:left w:val="single" w:color="auto" w:sz="4" w:space="0"/>
              <w:right w:val="single" w:color="000000" w:sz="4" w:space="0"/>
            </w:tcBorders>
            <w:noWrap w:val="0"/>
            <w:vAlign w:val="center"/>
          </w:tcPr>
          <w:p w14:paraId="1236C219">
            <w:pPr>
              <w:keepNext w:val="0"/>
              <w:keepLines w:val="0"/>
              <w:suppressLineNumbers w:val="0"/>
              <w:spacing w:before="0" w:beforeAutospacing="0" w:after="0" w:afterAutospacing="0" w:line="320" w:lineRule="exact"/>
              <w:ind w:left="0" w:right="0"/>
              <w:jc w:val="center"/>
              <w:rPr>
                <w:rFonts w:hint="eastAsia" w:ascii="Times New Roman" w:hAnsi="Times New Roman" w:eastAsia="楷体" w:cs="Times New Roman"/>
                <w:kern w:val="2"/>
                <w:sz w:val="24"/>
                <w:szCs w:val="24"/>
                <w:lang w:val="en-US" w:eastAsia="zh-CN" w:bidi="ar-SA"/>
              </w:rPr>
            </w:pPr>
            <w:r>
              <w:rPr>
                <w:rFonts w:hint="eastAsia" w:eastAsia="楷体" w:cstheme="minorBidi"/>
                <w:kern w:val="2"/>
                <w:sz w:val="24"/>
                <w:szCs w:val="24"/>
                <w:lang w:val="en-US" w:eastAsia="zh-CN" w:bidi="ar-SA"/>
              </w:rPr>
              <w:t>1</w:t>
            </w:r>
          </w:p>
        </w:tc>
        <w:tc>
          <w:tcPr>
            <w:tcW w:w="4414" w:type="dxa"/>
            <w:vMerge w:val="restart"/>
            <w:tcBorders>
              <w:top w:val="single" w:color="000000" w:sz="4" w:space="0"/>
              <w:left w:val="single" w:color="000000" w:sz="4" w:space="0"/>
              <w:right w:val="single" w:color="000000" w:sz="4" w:space="0"/>
            </w:tcBorders>
            <w:noWrap w:val="0"/>
            <w:vAlign w:val="center"/>
          </w:tcPr>
          <w:p w14:paraId="3B63BBDF">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温州市龙湾区永中街道永强东路18号、20号2间（一标段）及3间（二标段）房产五年租赁权</w:t>
            </w:r>
          </w:p>
        </w:tc>
        <w:tc>
          <w:tcPr>
            <w:tcW w:w="1383" w:type="dxa"/>
            <w:tcBorders>
              <w:top w:val="single" w:color="000000" w:sz="4" w:space="0"/>
              <w:left w:val="single" w:color="000000" w:sz="4" w:space="0"/>
              <w:bottom w:val="single" w:color="000000" w:sz="4" w:space="0"/>
              <w:right w:val="single" w:color="000000" w:sz="4" w:space="0"/>
            </w:tcBorders>
            <w:noWrap w:val="0"/>
            <w:vAlign w:val="center"/>
          </w:tcPr>
          <w:p w14:paraId="5AD7CB7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一标段2间</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14:paraId="6E558E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约232.31㎡</w:t>
            </w:r>
          </w:p>
        </w:tc>
        <w:tc>
          <w:tcPr>
            <w:tcW w:w="1300" w:type="dxa"/>
            <w:vMerge w:val="restart"/>
            <w:tcBorders>
              <w:top w:val="single" w:color="000000" w:sz="4" w:space="0"/>
              <w:left w:val="single" w:color="000000" w:sz="4" w:space="0"/>
              <w:right w:val="single" w:color="auto" w:sz="4" w:space="0"/>
            </w:tcBorders>
            <w:noWrap w:val="0"/>
            <w:vAlign w:val="center"/>
          </w:tcPr>
          <w:p w14:paraId="2AC0158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286550</w:t>
            </w:r>
            <w:r>
              <w:rPr>
                <w:rFonts w:hint="eastAsia" w:ascii="宋体" w:hAnsi="宋体" w:cs="宋体"/>
                <w:i w:val="0"/>
                <w:iCs w:val="0"/>
                <w:color w:val="000000"/>
                <w:kern w:val="0"/>
                <w:sz w:val="24"/>
                <w:szCs w:val="24"/>
                <w:u w:val="none"/>
                <w:lang w:val="en-US" w:eastAsia="zh-CN" w:bidi="ar"/>
              </w:rPr>
              <w:t>元</w:t>
            </w:r>
          </w:p>
        </w:tc>
        <w:tc>
          <w:tcPr>
            <w:tcW w:w="1166" w:type="dxa"/>
            <w:vMerge w:val="restart"/>
            <w:tcBorders>
              <w:top w:val="single" w:color="000000" w:sz="4" w:space="0"/>
              <w:left w:val="nil"/>
              <w:right w:val="single" w:color="auto" w:sz="4" w:space="0"/>
            </w:tcBorders>
            <w:noWrap w:val="0"/>
            <w:vAlign w:val="center"/>
          </w:tcPr>
          <w:p w14:paraId="775775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cs="宋体"/>
                <w:i w:val="0"/>
                <w:iCs w:val="0"/>
                <w:color w:val="000000"/>
                <w:kern w:val="0"/>
                <w:sz w:val="24"/>
                <w:szCs w:val="24"/>
                <w:u w:val="none"/>
                <w:lang w:val="en-US" w:eastAsia="zh-CN" w:bidi="ar"/>
              </w:rPr>
              <w:t>28</w:t>
            </w:r>
            <w:r>
              <w:rPr>
                <w:rFonts w:hint="eastAsia" w:ascii="宋体" w:hAnsi="宋体" w:eastAsia="宋体" w:cs="宋体"/>
                <w:i w:val="0"/>
                <w:iCs w:val="0"/>
                <w:color w:val="000000"/>
                <w:kern w:val="0"/>
                <w:sz w:val="24"/>
                <w:szCs w:val="24"/>
                <w:u w:val="none"/>
                <w:lang w:val="en-US" w:eastAsia="zh-CN" w:bidi="ar"/>
              </w:rPr>
              <w:t>万元</w:t>
            </w:r>
          </w:p>
        </w:tc>
      </w:tr>
      <w:tr w14:paraId="1C2E1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758" w:type="dxa"/>
            <w:vMerge w:val="continue"/>
            <w:tcBorders>
              <w:left w:val="single" w:color="auto" w:sz="4" w:space="0"/>
              <w:right w:val="single" w:color="000000" w:sz="4" w:space="0"/>
            </w:tcBorders>
            <w:noWrap w:val="0"/>
            <w:vAlign w:val="center"/>
          </w:tcPr>
          <w:p w14:paraId="7E2D0194">
            <w:pPr>
              <w:keepNext w:val="0"/>
              <w:keepLines w:val="0"/>
              <w:widowControl/>
              <w:suppressLineNumbers w:val="0"/>
              <w:spacing w:before="0" w:beforeAutospacing="0" w:after="0" w:afterAutospacing="0"/>
              <w:ind w:left="0" w:right="0"/>
              <w:jc w:val="center"/>
              <w:rPr>
                <w:rFonts w:hint="default"/>
                <w:szCs w:val="20"/>
              </w:rPr>
            </w:pPr>
          </w:p>
        </w:tc>
        <w:tc>
          <w:tcPr>
            <w:tcW w:w="4414" w:type="dxa"/>
            <w:vMerge w:val="continue"/>
            <w:tcBorders>
              <w:left w:val="single" w:color="000000" w:sz="4" w:space="0"/>
              <w:right w:val="single" w:color="000000" w:sz="4" w:space="0"/>
            </w:tcBorders>
            <w:noWrap w:val="0"/>
            <w:vAlign w:val="center"/>
          </w:tcPr>
          <w:p w14:paraId="59417636">
            <w:pPr>
              <w:keepNext w:val="0"/>
              <w:keepLines w:val="0"/>
              <w:widowControl/>
              <w:suppressLineNumbers w:val="0"/>
              <w:spacing w:before="0" w:beforeAutospacing="0" w:after="0" w:afterAutospacing="0"/>
              <w:ind w:left="0" w:right="0"/>
              <w:jc w:val="center"/>
              <w:rPr>
                <w:rFonts w:hint="default"/>
                <w:szCs w:val="20"/>
              </w:rPr>
            </w:pPr>
          </w:p>
        </w:tc>
        <w:tc>
          <w:tcPr>
            <w:tcW w:w="1383" w:type="dxa"/>
            <w:tcBorders>
              <w:top w:val="single" w:color="000000" w:sz="4" w:space="0"/>
              <w:left w:val="single" w:color="000000" w:sz="4" w:space="0"/>
              <w:bottom w:val="single" w:color="000000" w:sz="4" w:space="0"/>
              <w:right w:val="single" w:color="000000" w:sz="4" w:space="0"/>
            </w:tcBorders>
            <w:noWrap w:val="0"/>
            <w:vAlign w:val="center"/>
          </w:tcPr>
          <w:p w14:paraId="19F3C332">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eastAsia="宋体" w:cs="宋体"/>
                <w:i w:val="0"/>
                <w:iCs w:val="0"/>
                <w:color w:val="000000"/>
                <w:kern w:val="0"/>
                <w:sz w:val="24"/>
                <w:szCs w:val="24"/>
                <w:u w:val="none"/>
                <w:lang w:val="en-US" w:eastAsia="zh-CN" w:bidi="ar"/>
              </w:rPr>
              <w:t>二标段3间</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14:paraId="538E8CD4">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eastAsia="宋体" w:cs="宋体"/>
                <w:i w:val="0"/>
                <w:iCs w:val="0"/>
                <w:color w:val="000000"/>
                <w:kern w:val="0"/>
                <w:sz w:val="24"/>
                <w:szCs w:val="24"/>
                <w:u w:val="none"/>
                <w:lang w:val="en-US" w:eastAsia="zh-CN" w:bidi="ar"/>
              </w:rPr>
              <w:t>约294.74㎡</w:t>
            </w:r>
          </w:p>
        </w:tc>
        <w:tc>
          <w:tcPr>
            <w:tcW w:w="1300" w:type="dxa"/>
            <w:vMerge w:val="continue"/>
            <w:tcBorders>
              <w:left w:val="single" w:color="000000" w:sz="4" w:space="0"/>
              <w:right w:val="single" w:color="auto" w:sz="4" w:space="0"/>
            </w:tcBorders>
            <w:noWrap w:val="0"/>
            <w:vAlign w:val="center"/>
          </w:tcPr>
          <w:p w14:paraId="11FEE1AC">
            <w:pPr>
              <w:keepNext w:val="0"/>
              <w:keepLines w:val="0"/>
              <w:widowControl/>
              <w:suppressLineNumbers w:val="0"/>
              <w:spacing w:before="0" w:beforeAutospacing="0" w:after="0" w:afterAutospacing="0"/>
              <w:ind w:left="0" w:right="0"/>
              <w:jc w:val="center"/>
              <w:rPr>
                <w:rFonts w:hint="default"/>
                <w:szCs w:val="20"/>
              </w:rPr>
            </w:pPr>
          </w:p>
        </w:tc>
        <w:tc>
          <w:tcPr>
            <w:tcW w:w="1166" w:type="dxa"/>
            <w:vMerge w:val="continue"/>
            <w:tcBorders>
              <w:left w:val="nil"/>
              <w:right w:val="single" w:color="auto" w:sz="4" w:space="0"/>
            </w:tcBorders>
            <w:noWrap w:val="0"/>
            <w:vAlign w:val="center"/>
          </w:tcPr>
          <w:p w14:paraId="172AC5F9">
            <w:pPr>
              <w:keepNext w:val="0"/>
              <w:keepLines w:val="0"/>
              <w:widowControl/>
              <w:suppressLineNumbers w:val="0"/>
              <w:spacing w:before="0" w:beforeAutospacing="0" w:after="0" w:afterAutospacing="0"/>
              <w:ind w:left="0" w:right="0"/>
              <w:jc w:val="center"/>
              <w:rPr>
                <w:rFonts w:hint="default"/>
                <w:szCs w:val="20"/>
              </w:rPr>
            </w:pPr>
          </w:p>
        </w:tc>
      </w:tr>
      <w:tr w14:paraId="3A6B0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758" w:type="dxa"/>
            <w:vMerge w:val="continue"/>
            <w:tcBorders>
              <w:left w:val="single" w:color="auto" w:sz="4" w:space="0"/>
              <w:right w:val="single" w:color="000000" w:sz="4" w:space="0"/>
            </w:tcBorders>
            <w:noWrap w:val="0"/>
            <w:vAlign w:val="center"/>
          </w:tcPr>
          <w:p w14:paraId="16460AB5">
            <w:pPr>
              <w:keepNext w:val="0"/>
              <w:keepLines w:val="0"/>
              <w:widowControl/>
              <w:suppressLineNumbers w:val="0"/>
              <w:spacing w:before="0" w:beforeAutospacing="0" w:after="0" w:afterAutospacing="0"/>
              <w:ind w:left="0" w:right="0"/>
              <w:jc w:val="center"/>
              <w:rPr>
                <w:rFonts w:hint="default"/>
                <w:szCs w:val="20"/>
              </w:rPr>
            </w:pPr>
          </w:p>
        </w:tc>
        <w:tc>
          <w:tcPr>
            <w:tcW w:w="4414" w:type="dxa"/>
            <w:vMerge w:val="continue"/>
            <w:tcBorders>
              <w:left w:val="single" w:color="000000" w:sz="4" w:space="0"/>
              <w:right w:val="single" w:color="000000" w:sz="4" w:space="0"/>
            </w:tcBorders>
            <w:noWrap w:val="0"/>
            <w:vAlign w:val="center"/>
          </w:tcPr>
          <w:p w14:paraId="39DB4F2D">
            <w:pPr>
              <w:keepNext w:val="0"/>
              <w:keepLines w:val="0"/>
              <w:widowControl/>
              <w:suppressLineNumbers w:val="0"/>
              <w:spacing w:before="0" w:beforeAutospacing="0" w:after="0" w:afterAutospacing="0"/>
              <w:ind w:left="0" w:right="0"/>
              <w:jc w:val="center"/>
              <w:rPr>
                <w:rFonts w:hint="default"/>
                <w:szCs w:val="20"/>
              </w:rPr>
            </w:pPr>
          </w:p>
        </w:tc>
        <w:tc>
          <w:tcPr>
            <w:tcW w:w="1383" w:type="dxa"/>
            <w:tcBorders>
              <w:top w:val="single" w:color="000000" w:sz="4" w:space="0"/>
              <w:left w:val="single" w:color="000000" w:sz="4" w:space="0"/>
              <w:bottom w:val="single" w:color="000000" w:sz="4" w:space="0"/>
              <w:right w:val="single" w:color="000000" w:sz="4" w:space="0"/>
            </w:tcBorders>
            <w:noWrap w:val="0"/>
            <w:vAlign w:val="center"/>
          </w:tcPr>
          <w:p w14:paraId="5524CBCE">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sz w:val="24"/>
                <w:szCs w:val="24"/>
                <w:lang w:val="en-US" w:eastAsia="zh-CN"/>
              </w:rPr>
              <w:t>合计</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14:paraId="4D3613DD">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eastAsia="宋体" w:cs="宋体"/>
                <w:i w:val="0"/>
                <w:iCs w:val="0"/>
                <w:color w:val="000000"/>
                <w:kern w:val="0"/>
                <w:sz w:val="24"/>
                <w:szCs w:val="24"/>
                <w:u w:val="none"/>
                <w:lang w:val="en-US" w:eastAsia="zh-CN" w:bidi="ar"/>
              </w:rPr>
              <w:t>约527.05㎡</w:t>
            </w:r>
          </w:p>
        </w:tc>
        <w:tc>
          <w:tcPr>
            <w:tcW w:w="1300" w:type="dxa"/>
            <w:vMerge w:val="continue"/>
            <w:tcBorders>
              <w:left w:val="single" w:color="000000" w:sz="4" w:space="0"/>
              <w:right w:val="single" w:color="auto" w:sz="4" w:space="0"/>
            </w:tcBorders>
            <w:noWrap w:val="0"/>
            <w:vAlign w:val="center"/>
          </w:tcPr>
          <w:p w14:paraId="36B73A34">
            <w:pPr>
              <w:keepNext w:val="0"/>
              <w:keepLines w:val="0"/>
              <w:widowControl/>
              <w:suppressLineNumbers w:val="0"/>
              <w:spacing w:before="0" w:beforeAutospacing="0" w:after="0" w:afterAutospacing="0"/>
              <w:ind w:left="0" w:right="0"/>
              <w:jc w:val="center"/>
              <w:rPr>
                <w:rFonts w:hint="default"/>
                <w:szCs w:val="20"/>
              </w:rPr>
            </w:pPr>
          </w:p>
        </w:tc>
        <w:tc>
          <w:tcPr>
            <w:tcW w:w="1166" w:type="dxa"/>
            <w:vMerge w:val="continue"/>
            <w:tcBorders>
              <w:left w:val="nil"/>
              <w:right w:val="single" w:color="auto" w:sz="4" w:space="0"/>
            </w:tcBorders>
            <w:noWrap w:val="0"/>
            <w:vAlign w:val="center"/>
          </w:tcPr>
          <w:p w14:paraId="41181F88">
            <w:pPr>
              <w:keepNext w:val="0"/>
              <w:keepLines w:val="0"/>
              <w:widowControl/>
              <w:suppressLineNumbers w:val="0"/>
              <w:spacing w:before="0" w:beforeAutospacing="0" w:after="0" w:afterAutospacing="0"/>
              <w:ind w:left="0" w:right="0"/>
              <w:jc w:val="center"/>
              <w:rPr>
                <w:rFonts w:hint="default"/>
                <w:szCs w:val="20"/>
              </w:rPr>
            </w:pPr>
          </w:p>
        </w:tc>
      </w:tr>
      <w:tr w14:paraId="07A7C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9" w:hRule="atLeast"/>
          <w:jc w:val="center"/>
        </w:trPr>
        <w:tc>
          <w:tcPr>
            <w:tcW w:w="758" w:type="dxa"/>
            <w:tcBorders>
              <w:top w:val="single" w:color="000000" w:sz="4" w:space="0"/>
              <w:left w:val="single" w:color="auto" w:sz="4" w:space="0"/>
              <w:right w:val="single" w:color="000000" w:sz="4" w:space="0"/>
            </w:tcBorders>
            <w:noWrap w:val="0"/>
            <w:vAlign w:val="center"/>
          </w:tcPr>
          <w:p w14:paraId="6C6CE9FF">
            <w:pPr>
              <w:keepNext w:val="0"/>
              <w:keepLines w:val="0"/>
              <w:suppressLineNumbers w:val="0"/>
              <w:spacing w:before="0" w:beforeAutospacing="0" w:after="0" w:afterAutospacing="0" w:line="320" w:lineRule="exact"/>
              <w:ind w:left="0" w:right="0"/>
              <w:jc w:val="center"/>
              <w:rPr>
                <w:rFonts w:hint="eastAsia" w:ascii="Times New Roman" w:hAnsi="Times New Roman" w:eastAsia="楷体" w:cs="Times New Roman"/>
                <w:kern w:val="2"/>
                <w:sz w:val="24"/>
                <w:szCs w:val="24"/>
                <w:lang w:val="en-US" w:eastAsia="zh-CN" w:bidi="ar-SA"/>
              </w:rPr>
            </w:pPr>
            <w:r>
              <w:rPr>
                <w:rFonts w:hint="eastAsia" w:eastAsia="楷体" w:cstheme="minorBidi"/>
                <w:kern w:val="2"/>
                <w:sz w:val="24"/>
                <w:szCs w:val="24"/>
                <w:lang w:val="en-US" w:eastAsia="zh-CN" w:bidi="ar-SA"/>
              </w:rPr>
              <w:t>2</w:t>
            </w:r>
          </w:p>
        </w:tc>
        <w:tc>
          <w:tcPr>
            <w:tcW w:w="4414" w:type="dxa"/>
            <w:tcBorders>
              <w:top w:val="single" w:color="000000" w:sz="4" w:space="0"/>
              <w:left w:val="single" w:color="000000" w:sz="4" w:space="0"/>
              <w:right w:val="single" w:color="000000" w:sz="4" w:space="0"/>
            </w:tcBorders>
            <w:noWrap w:val="0"/>
            <w:vAlign w:val="center"/>
          </w:tcPr>
          <w:p w14:paraId="1CB4286E">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温州市龙湾区永中街道永强东路18号、20号（三标段）2间房产五年租赁权</w:t>
            </w:r>
          </w:p>
        </w:tc>
        <w:tc>
          <w:tcPr>
            <w:tcW w:w="2965" w:type="dxa"/>
            <w:gridSpan w:val="2"/>
            <w:tcBorders>
              <w:top w:val="single" w:color="000000" w:sz="4" w:space="0"/>
              <w:left w:val="single" w:color="000000" w:sz="4" w:space="0"/>
              <w:bottom w:val="single" w:color="000000" w:sz="4" w:space="0"/>
              <w:right w:val="single" w:color="000000" w:sz="4" w:space="0"/>
            </w:tcBorders>
            <w:noWrap w:val="0"/>
            <w:vAlign w:val="center"/>
          </w:tcPr>
          <w:p w14:paraId="35F9ED8B">
            <w:pPr>
              <w:keepNext w:val="0"/>
              <w:keepLines w:val="0"/>
              <w:widowControl/>
              <w:suppressLineNumbers w:val="0"/>
              <w:spacing w:before="0" w:beforeAutospacing="0" w:after="0" w:afterAutospacing="0"/>
              <w:ind w:left="0" w:right="0"/>
              <w:jc w:val="center"/>
              <w:rPr>
                <w:rFonts w:hint="default"/>
                <w:szCs w:val="20"/>
              </w:rPr>
            </w:pPr>
            <w:r>
              <w:rPr>
                <w:rFonts w:hint="eastAsia" w:ascii="宋体" w:hAnsi="宋体" w:eastAsia="宋体" w:cs="宋体"/>
                <w:i w:val="0"/>
                <w:iCs w:val="0"/>
                <w:color w:val="000000"/>
                <w:kern w:val="0"/>
                <w:sz w:val="24"/>
                <w:szCs w:val="24"/>
                <w:u w:val="none"/>
                <w:lang w:val="en-US" w:eastAsia="zh-CN" w:bidi="ar"/>
              </w:rPr>
              <w:t>约222.64㎡</w:t>
            </w:r>
          </w:p>
        </w:tc>
        <w:tc>
          <w:tcPr>
            <w:tcW w:w="1300" w:type="dxa"/>
            <w:tcBorders>
              <w:top w:val="single" w:color="000000" w:sz="4" w:space="0"/>
              <w:left w:val="single" w:color="000000" w:sz="4" w:space="0"/>
              <w:right w:val="single" w:color="auto" w:sz="4" w:space="0"/>
            </w:tcBorders>
            <w:noWrap w:val="0"/>
            <w:vAlign w:val="center"/>
          </w:tcPr>
          <w:p w14:paraId="32C892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121100</w:t>
            </w:r>
            <w:r>
              <w:rPr>
                <w:rFonts w:hint="eastAsia" w:ascii="宋体" w:hAnsi="宋体" w:cs="宋体"/>
                <w:i w:val="0"/>
                <w:iCs w:val="0"/>
                <w:color w:val="000000"/>
                <w:kern w:val="0"/>
                <w:sz w:val="24"/>
                <w:szCs w:val="24"/>
                <w:u w:val="none"/>
                <w:lang w:val="en-US" w:eastAsia="zh-CN" w:bidi="ar"/>
              </w:rPr>
              <w:t>元</w:t>
            </w:r>
          </w:p>
        </w:tc>
        <w:tc>
          <w:tcPr>
            <w:tcW w:w="1166" w:type="dxa"/>
            <w:tcBorders>
              <w:top w:val="single" w:color="000000" w:sz="4" w:space="0"/>
              <w:left w:val="nil"/>
              <w:right w:val="single" w:color="auto" w:sz="4" w:space="0"/>
            </w:tcBorders>
            <w:noWrap w:val="0"/>
            <w:vAlign w:val="center"/>
          </w:tcPr>
          <w:p w14:paraId="68C3A2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w:t>
            </w:r>
            <w:r>
              <w:rPr>
                <w:rFonts w:hint="eastAsia" w:ascii="宋体" w:hAnsi="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万元</w:t>
            </w:r>
          </w:p>
        </w:tc>
      </w:tr>
      <w:tr w14:paraId="6DFE6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5" w:hRule="atLeast"/>
          <w:jc w:val="center"/>
        </w:trPr>
        <w:tc>
          <w:tcPr>
            <w:tcW w:w="10603" w:type="dxa"/>
            <w:gridSpan w:val="6"/>
            <w:tcBorders>
              <w:top w:val="single" w:color="000000" w:sz="4" w:space="0"/>
              <w:left w:val="single" w:color="auto" w:sz="4" w:space="0"/>
              <w:bottom w:val="single" w:color="000000" w:sz="4" w:space="0"/>
              <w:right w:val="single" w:color="auto" w:sz="4" w:space="0"/>
            </w:tcBorders>
            <w:noWrap w:val="0"/>
            <w:vAlign w:val="center"/>
          </w:tcPr>
          <w:p w14:paraId="605B451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注：1.租期5年，租金（不含税）一年一付，先付后用，第1-3年租金为竞价成交价，第4-5年租金在第3年租金的基础上逐年递增5%。</w:t>
            </w:r>
          </w:p>
          <w:p w14:paraId="5BF6B2B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cs="宋体"/>
                <w:bCs/>
                <w:kern w:val="2"/>
                <w:sz w:val="24"/>
                <w:szCs w:val="24"/>
                <w:lang w:val="en-US" w:eastAsia="zh-CN" w:bidi="ar"/>
              </w:rPr>
              <w:t>2</w:t>
            </w:r>
            <w:r>
              <w:rPr>
                <w:rFonts w:hint="eastAsia" w:ascii="宋体" w:hAnsi="宋体" w:eastAsia="宋体" w:cs="宋体"/>
                <w:bCs/>
                <w:kern w:val="2"/>
                <w:sz w:val="24"/>
                <w:szCs w:val="24"/>
                <w:lang w:val="en-US" w:eastAsia="zh-CN" w:bidi="ar"/>
              </w:rPr>
              <w:t>.</w:t>
            </w:r>
            <w:r>
              <w:rPr>
                <w:rFonts w:hint="eastAsia" w:ascii="宋体" w:hAnsi="宋体" w:eastAsia="宋体" w:cs="宋体"/>
                <w:bCs/>
                <w:kern w:val="2"/>
                <w:sz w:val="24"/>
                <w:szCs w:val="24"/>
                <w:highlight w:val="none"/>
                <w:lang w:val="en-US" w:eastAsia="zh-CN" w:bidi="ar"/>
              </w:rPr>
              <w:t>原承租人在同等条件下享有优先权，若原承租人未成功竞得标的，则给予腾空期1个月（自成交之日起），不计租金及租期。</w:t>
            </w:r>
          </w:p>
          <w:p w14:paraId="7D0B518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cs="宋体"/>
                <w:bCs/>
                <w:kern w:val="2"/>
                <w:sz w:val="24"/>
                <w:szCs w:val="24"/>
                <w:lang w:val="en-US" w:eastAsia="zh-CN" w:bidi="ar"/>
              </w:rPr>
              <w:t>3</w:t>
            </w:r>
            <w:r>
              <w:rPr>
                <w:rFonts w:hint="eastAsia" w:ascii="宋体" w:hAnsi="宋体" w:eastAsia="宋体" w:cs="宋体"/>
                <w:bCs/>
                <w:kern w:val="2"/>
                <w:sz w:val="24"/>
                <w:szCs w:val="24"/>
                <w:lang w:val="en-US" w:eastAsia="zh-CN" w:bidi="ar"/>
              </w:rPr>
              <w:t>.</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w:t>
      </w: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410845</wp:posOffset>
            </wp:positionH>
            <wp:positionV relativeFrom="paragraph">
              <wp:posOffset>-1701800</wp:posOffset>
            </wp:positionV>
            <wp:extent cx="5271770" cy="5833110"/>
            <wp:effectExtent l="0" t="0" r="5080" b="15240"/>
            <wp:wrapNone/>
            <wp:docPr id="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0B819D6C">
      <w:pPr>
        <w:keepNext w:val="0"/>
        <w:keepLines w:val="0"/>
        <w:pageBreakBefore w:val="0"/>
        <w:widowControl w:val="0"/>
        <w:kinsoku/>
        <w:wordWrap/>
        <w:overflowPunct/>
        <w:topLinePunct w:val="0"/>
        <w:autoSpaceDE/>
        <w:autoSpaceDN/>
        <w:bidi w:val="0"/>
        <w:adjustRightInd/>
        <w:snapToGrid/>
        <w:spacing w:line="360" w:lineRule="auto"/>
        <w:ind w:right="0" w:rightChars="0" w:firstLine="240" w:firstLineChars="1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5年租金总额，采用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883"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275590</wp:posOffset>
                  </wp:positionH>
                  <wp:positionV relativeFrom="paragraph">
                    <wp:posOffset>73025</wp:posOffset>
                  </wp:positionV>
                  <wp:extent cx="5271770" cy="5833110"/>
                  <wp:effectExtent l="0" t="0" r="5080" b="15240"/>
                  <wp:wrapNone/>
                  <wp:docPr id="15"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1B74910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default"/>
          <w:b w:val="0"/>
          <w:bCs/>
          <w:color w:val="auto"/>
          <w:sz w:val="24"/>
          <w:szCs w:val="24"/>
          <w:u w:val="none"/>
          <w:lang w:val="en-US" w:eastAsia="zh-CN"/>
        </w:rPr>
      </w:pPr>
      <w:r>
        <w:rPr>
          <w:rFonts w:hint="eastAsia"/>
          <w:b w:val="0"/>
          <w:bCs/>
          <w:color w:val="auto"/>
          <w:sz w:val="24"/>
          <w:szCs w:val="24"/>
          <w:highlight w:val="none"/>
          <w:lang w:val="en-US" w:eastAsia="zh-CN"/>
        </w:rPr>
        <w:t>3、竞得人应在成交之日起30日内与出租人签订《租赁合同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标的物由出租人按移交时的现场现状移交给竞得人。</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w:t>
      </w:r>
      <w:r>
        <w:rPr>
          <w:rFonts w:hint="eastAsia" w:ascii="宋体" w:hAnsi="宋体"/>
          <w:sz w:val="24"/>
          <w:szCs w:val="24"/>
          <w:u w:val="single"/>
        </w:rPr>
        <w:t>（含</w:t>
      </w:r>
      <w:r>
        <w:rPr>
          <w:rFonts w:hint="eastAsia" w:ascii="宋体" w:hAnsi="宋体"/>
          <w:sz w:val="24"/>
          <w:szCs w:val="24"/>
          <w:u w:val="single"/>
          <w:lang w:eastAsia="zh-CN"/>
        </w:rPr>
        <w:t>出租人</w:t>
      </w:r>
      <w:r>
        <w:rPr>
          <w:rFonts w:hint="eastAsia" w:ascii="宋体" w:hAnsi="宋体"/>
          <w:sz w:val="24"/>
          <w:szCs w:val="24"/>
          <w:u w:val="single"/>
        </w:rPr>
        <w:t>因租赁关系需向税务等有关部门缴纳的一切税费）</w:t>
      </w:r>
      <w:r>
        <w:rPr>
          <w:rFonts w:hint="eastAsia" w:ascii="宋体" w:hAnsi="宋体"/>
          <w:sz w:val="24"/>
          <w:szCs w:val="24"/>
        </w:rPr>
        <w:t>。</w:t>
      </w:r>
    </w:p>
    <w:p w14:paraId="3FB809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7C574D76">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6、标的无不动产权证，因此有关部门申请办理相关审批手续及相关证照的风险及责任由承租人自行承担。</w:t>
      </w:r>
    </w:p>
    <w:p w14:paraId="2C6019DE">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697230</wp:posOffset>
            </wp:positionH>
            <wp:positionV relativeFrom="paragraph">
              <wp:posOffset>22860</wp:posOffset>
            </wp:positionV>
            <wp:extent cx="5271770" cy="5833110"/>
            <wp:effectExtent l="0" t="0" r="5080" b="15240"/>
            <wp:wrapNone/>
            <wp:docPr id="1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511EB7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u w:val="single"/>
          <w:lang w:val="en-US" w:eastAsia="zh-CN"/>
        </w:rPr>
      </w:pPr>
      <w:r>
        <w:rPr>
          <w:rFonts w:hint="eastAsia" w:ascii="宋体" w:hAnsi="宋体" w:cs="宋体"/>
          <w:color w:val="auto"/>
          <w:sz w:val="24"/>
          <w:szCs w:val="24"/>
          <w:u w:val="single"/>
          <w:lang w:val="en-US" w:eastAsia="zh-CN"/>
        </w:rPr>
        <w:t>8、原承租人在同等条件下享有优先权，标的一原承租人租赁合同于2026年6月30日到期；标的二原承租人租赁合同于2025年8月1日到期。因原承租人尚未腾空搬离，租金按实际使用天数计算。若原承租人未成功竞得的，须于1个月内腾空，腾空期不计租金及租期，新承租人在接到甲方通知后与甲方签订《租赁合同》，甲方按原承租人腾空后的现场现状移交给新承租人使用，租期从移交之日起开始计算。</w:t>
      </w:r>
    </w:p>
    <w:p w14:paraId="2E9632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u w:val="single"/>
          <w:lang w:val="en-US" w:eastAsia="zh-CN"/>
        </w:rPr>
      </w:pPr>
      <w:r>
        <w:rPr>
          <w:rFonts w:hint="eastAsia" w:ascii="宋体" w:hAnsi="宋体" w:cs="宋体"/>
          <w:color w:val="auto"/>
          <w:sz w:val="24"/>
          <w:szCs w:val="24"/>
          <w:u w:val="single"/>
          <w:lang w:val="en-US" w:eastAsia="zh-CN"/>
        </w:rPr>
        <w:t>标的物目前处于使用中，竞得人应理解出租方交付时间具有不确定性。正式租赁合同签约时间以出租方书面通知时间为准。竞得人已知悉并明确同意：若2026年11月20日后，标的物未腾空导致出租方不能交付标的物的，竞得人应在出租方要求的期限内按以下任一方案进行选择并回复：（1）双方可保留本次交易直至出租方交付标的物后，再行签订租赁合同；（2）竞得人可提出终止本次交易，出租方所收款项全部（含首期租金、竞价保证金、履约保证金等）无息退回，除此之外，双方互不承担违约责任，且竞得人不以任何理由再向出租方主张任何补偿或赔偿。如竞得人逾期向出租方回复的，则视为终止交易，出租方有权另行处置该标的物。</w:t>
      </w:r>
    </w:p>
    <w:p w14:paraId="302135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u w:val="single"/>
          <w:lang w:val="en-US" w:eastAsia="zh-CN"/>
        </w:rPr>
      </w:pPr>
      <w:r>
        <w:rPr>
          <w:rFonts w:hint="eastAsia" w:ascii="宋体" w:hAnsi="宋体" w:cs="宋体"/>
          <w:color w:val="auto"/>
          <w:sz w:val="24"/>
          <w:szCs w:val="24"/>
          <w:u w:val="single"/>
          <w:lang w:val="en-US" w:eastAsia="zh-CN"/>
        </w:rPr>
        <w:t>若2026年11月20日前（含当日），出租方已完成腾空，可以交付标的物的，竞得人应在出租方要求的期限内签署租赁合同。若竞得人未按约定与出租方签署租赁合同的，则视为竞得人违约，承担违约责任，除竞价保证金不予退还外，标的再行竞价的，再行竞价的价款低于原竞价价款的，原竞得人应当补足差额，并赔偿由此造成的经济损失。</w:t>
      </w:r>
    </w:p>
    <w:p w14:paraId="629D39D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b/>
          <w:bCs/>
          <w:lang w:val="en-US" w:eastAsia="zh-CN"/>
        </w:rPr>
      </w:pPr>
      <w:r>
        <w:rPr>
          <w:rFonts w:hint="eastAsia" w:ascii="宋体" w:hAnsi="宋体" w:cs="宋体"/>
          <w:b/>
          <w:bCs/>
          <w:color w:val="auto"/>
          <w:sz w:val="24"/>
          <w:szCs w:val="24"/>
          <w:u w:val="single"/>
          <w:lang w:val="en-US" w:eastAsia="zh-CN"/>
        </w:rPr>
        <w:t>无论标的物是否顺利交付，竞得人均需自行承担因本次交易所产生的费用，包括但不限于交易服务费。</w:t>
      </w:r>
    </w:p>
    <w:p w14:paraId="0B3276E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240" w:firstLineChars="1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5D3BCC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0174629B">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rPr>
          <w:rFonts w:hint="default" w:ascii="宋体" w:hAnsi="宋体"/>
          <w:color w:val="auto"/>
          <w:sz w:val="24"/>
          <w:szCs w:val="24"/>
          <w:highlight w:val="none"/>
          <w:lang w:val="en-US" w:eastAsia="zh-CN"/>
        </w:rPr>
      </w:pPr>
    </w:p>
    <w:p w14:paraId="56062DD8">
      <w:pPr>
        <w:keepNext w:val="0"/>
        <w:keepLines w:val="0"/>
        <w:pageBreakBefore w:val="0"/>
        <w:widowControl w:val="0"/>
        <w:kinsoku/>
        <w:wordWrap/>
        <w:overflowPunct/>
        <w:topLinePunct w:val="0"/>
        <w:autoSpaceDE/>
        <w:autoSpaceDN/>
        <w:bidi w:val="0"/>
        <w:adjustRightInd/>
        <w:snapToGrid/>
        <w:spacing w:line="240" w:lineRule="atLeas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2026年10月10日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317500</wp:posOffset>
                </wp:positionH>
                <wp:positionV relativeFrom="paragraph">
                  <wp:posOffset>316865</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3"/>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25pt;margin-top:24.95pt;height:78.3pt;width:461.4pt;z-index:251669504;mso-width-relative:page;mso-height-relative:page;" fillcolor="#FFFFFF" filled="t" stroked="t" coordsize="21600,21600" o:gfxdata="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1L1/TZAAAACQEAAA8AAAAAAAAAAQAgAAAAIgAAAGRycy9kb3ducmV2Lnht&#10;bFBLAQIUABQAAAAIAIdO4kD6K43IMQIAAHgEAAAOAAAAAAAAAAEAIAAAACgBAABkcnMvZTJvRG9j&#10;LnhtbFBLBQYAAAAABgAGAFkBAADLBQ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3"/>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883"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r>
        <w:rPr>
          <w:rFonts w:hint="eastAsia" w:ascii="宋体" w:hAnsi="宋体"/>
          <w:b/>
          <w:bCs/>
          <w:color w:val="auto"/>
          <w:sz w:val="44"/>
          <w:szCs w:val="44"/>
          <w:highlight w:val="none"/>
          <w:lang w:val="en-US" w:eastAsia="zh-CN"/>
        </w:rPr>
        <w:drawing>
          <wp:anchor distT="0" distB="0" distL="114300" distR="114300" simplePos="0" relativeHeight="251681792" behindDoc="1" locked="0" layoutInCell="1" allowOverlap="1">
            <wp:simplePos x="0" y="0"/>
            <wp:positionH relativeFrom="column">
              <wp:posOffset>453390</wp:posOffset>
            </wp:positionH>
            <wp:positionV relativeFrom="paragraph">
              <wp:posOffset>-1160145</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2026年10月19日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3"/>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首年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租期5年，租金（不含税）一年一付，先付后用，第1-3年租金为竞价成交价，第4-5年租金在第3年租金的基础上逐年递增5%</w:t>
      </w:r>
      <w:r>
        <w:rPr>
          <w:rFonts w:hint="eastAsia" w:ascii="宋体" w:hAnsi="宋体"/>
          <w:b/>
          <w:bCs/>
          <w:color w:val="auto"/>
          <w:sz w:val="24"/>
          <w:highlight w:val="none"/>
          <w:lang w:eastAsia="zh-CN"/>
        </w:rPr>
        <w:t>。</w:t>
      </w:r>
    </w:p>
    <w:p w14:paraId="313807F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10</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26</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具体租赁事项以竞得人与温州市龙湾区永中街道沧河村股份经济合作社</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w:t>
      </w:r>
      <w:r>
        <w:rPr>
          <w:rFonts w:hint="eastAsia" w:ascii="宋体" w:hAnsi="宋体"/>
          <w:color w:val="auto"/>
          <w:kern w:val="2"/>
          <w:sz w:val="24"/>
          <w:szCs w:val="24"/>
          <w:highlight w:val="none"/>
          <w:lang w:val="en-US" w:eastAsia="zh-CN" w:bidi="ar-SA"/>
        </w:rPr>
        <w:t>026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10</w:t>
      </w:r>
      <w:r>
        <w:rPr>
          <w:rFonts w:hint="eastAsia" w:ascii="宋体" w:hAnsi="宋体" w:eastAsia="宋体"/>
          <w:color w:val="auto"/>
          <w:kern w:val="2"/>
          <w:sz w:val="24"/>
          <w:szCs w:val="24"/>
          <w:highlight w:val="none"/>
          <w:lang w:val="en-US" w:eastAsia="zh-CN" w:bidi="ar-SA"/>
        </w:rPr>
        <w:t>月  日</w:t>
      </w:r>
    </w:p>
    <w:p w14:paraId="782C8574">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color w:val="auto"/>
          <w:sz w:val="44"/>
          <w:szCs w:val="44"/>
          <w:lang w:val="en-US" w:eastAsia="zh-CN"/>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4C8CB364">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ED781A8">
      <w:pPr>
        <w:spacing w:line="380" w:lineRule="exac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温州市龙湾区永中街道沧河村股份经济合作社           </w:t>
      </w:r>
      <w:r>
        <w:rPr>
          <w:rFonts w:hint="eastAsia" w:ascii="宋体" w:hAnsi="宋体" w:cs="宋体"/>
          <w:color w:val="auto"/>
          <w:sz w:val="24"/>
          <w:szCs w:val="24"/>
          <w:highlight w:val="none"/>
        </w:rPr>
        <w:t>（以下简称甲方）</w:t>
      </w:r>
    </w:p>
    <w:p w14:paraId="0096014D">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4E480F88">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1545B6C">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0AA45817">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421347F5">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8A8CD4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7D351109">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376652DC">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有不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F69BD89">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2530D564">
      <w:pPr>
        <w:pStyle w:val="4"/>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一</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5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42227218">
      <w:pPr>
        <w:pStyle w:val="4"/>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二</w:t>
      </w:r>
      <w:r>
        <w:rPr>
          <w:rFonts w:hint="eastAsia" w:ascii="宋体" w:hAnsi="宋体" w:cs="宋体"/>
          <w:color w:val="auto"/>
          <w:szCs w:val="24"/>
        </w:rPr>
        <w:t>）租赁期限届满乙方有意继续租赁的，应当在租赁期限届满前2个月书面通知甲方，如甲方仍要对外出租，在同等条件下，乙方享有</w:t>
      </w:r>
      <w:r>
        <w:rPr>
          <w:rFonts w:hint="eastAsia" w:ascii="宋体" w:hAnsi="宋体"/>
          <w:b/>
          <w:bCs/>
          <w:color w:val="auto"/>
          <w:sz w:val="44"/>
          <w:szCs w:val="44"/>
          <w:highlight w:val="none"/>
          <w:lang w:val="en-US" w:eastAsia="zh-CN"/>
        </w:rPr>
        <w:drawing>
          <wp:anchor distT="0" distB="0" distL="114300" distR="114300" simplePos="0" relativeHeight="251679744" behindDoc="1" locked="0" layoutInCell="1" allowOverlap="1">
            <wp:simplePos x="0" y="0"/>
            <wp:positionH relativeFrom="column">
              <wp:posOffset>453390</wp:posOffset>
            </wp:positionH>
            <wp:positionV relativeFrom="paragraph">
              <wp:posOffset>-2524760</wp:posOffset>
            </wp:positionV>
            <wp:extent cx="5271770" cy="5833110"/>
            <wp:effectExtent l="0" t="0" r="5080" b="15240"/>
            <wp:wrapNone/>
            <wp:docPr id="1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Cs w:val="24"/>
        </w:rPr>
        <w:t>优先承租权。乙方在租赁期间，如有违约情形之一的，则丧失优先承租权。</w:t>
      </w:r>
    </w:p>
    <w:p w14:paraId="477C956B">
      <w:pPr>
        <w:pStyle w:val="4"/>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65A40363">
      <w:pPr>
        <w:pStyle w:val="4"/>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7B6E43E0">
      <w:pPr>
        <w:pStyle w:val="4"/>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6560A033">
      <w:pPr>
        <w:pStyle w:val="4"/>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59F0AADE">
      <w:pPr>
        <w:pStyle w:val="4"/>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3.第三年年租金￥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6CC9CA34">
      <w:pPr>
        <w:pStyle w:val="4"/>
        <w:spacing w:line="380" w:lineRule="exact"/>
        <w:rPr>
          <w:rFonts w:hint="eastAsia" w:ascii="宋体" w:hAnsi="宋体" w:cs="宋体"/>
          <w:color w:val="auto"/>
          <w:szCs w:val="24"/>
          <w:highlight w:val="none"/>
          <w:u w:val="none"/>
          <w:lang w:val="en-US" w:eastAsia="zh-CN"/>
        </w:rPr>
      </w:pPr>
      <w:r>
        <w:rPr>
          <w:rFonts w:hint="eastAsia" w:ascii="宋体" w:hAnsi="宋体" w:eastAsia="宋体" w:cs="宋体"/>
          <w:color w:val="auto"/>
          <w:szCs w:val="24"/>
          <w:highlight w:val="none"/>
          <w:u w:val="none"/>
          <w:lang w:val="en-US" w:eastAsia="zh-CN"/>
        </w:rPr>
        <w:t>4.</w:t>
      </w:r>
      <w:r>
        <w:rPr>
          <w:rFonts w:hint="eastAsia" w:ascii="宋体" w:hAnsi="宋体" w:cs="宋体"/>
          <w:color w:val="auto"/>
          <w:szCs w:val="24"/>
          <w:highlight w:val="none"/>
          <w:u w:val="none"/>
          <w:lang w:val="en-US" w:eastAsia="zh-CN"/>
        </w:rPr>
        <w:t>第四年年租金￥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3DF2CA88">
      <w:pPr>
        <w:pStyle w:val="4"/>
        <w:spacing w:line="380" w:lineRule="exact"/>
        <w:rPr>
          <w:rFonts w:hint="eastAsia" w:ascii="宋体" w:hAnsi="宋体" w:eastAsia="宋体" w:cs="宋体"/>
          <w:color w:val="auto"/>
          <w:szCs w:val="24"/>
          <w:highlight w:val="none"/>
          <w:u w:val="single"/>
          <w:lang w:val="en-US" w:eastAsia="zh-CN"/>
        </w:rPr>
      </w:pPr>
      <w:r>
        <w:rPr>
          <w:rFonts w:hint="eastAsia" w:ascii="宋体" w:hAnsi="宋体" w:cs="宋体"/>
          <w:color w:val="auto"/>
          <w:szCs w:val="24"/>
          <w:highlight w:val="none"/>
          <w:u w:val="none"/>
          <w:lang w:val="en-US" w:eastAsia="zh-CN"/>
        </w:rPr>
        <w:t>5.第五年年租金￥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110F4452">
      <w:pPr>
        <w:pStyle w:val="4"/>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eastAsia="宋体" w:cs="宋体"/>
          <w:color w:val="auto"/>
          <w:szCs w:val="24"/>
          <w:highlight w:val="none"/>
          <w:u w:val="single"/>
          <w:lang w:val="en-US" w:eastAsia="zh-CN"/>
        </w:rPr>
        <w:t>6.租期5年，租金（不含税）一年一付，先付后用，第1-3年租金为竞价成交价，第4-5年租金在第3年租金的基础上逐年递增5%</w:t>
      </w:r>
      <w:r>
        <w:rPr>
          <w:rFonts w:hint="eastAsia" w:ascii="宋体" w:hAnsi="宋体" w:cs="宋体"/>
          <w:color w:val="auto"/>
          <w:szCs w:val="24"/>
          <w:highlight w:val="none"/>
          <w:u w:val="single"/>
          <w:lang w:eastAsia="zh-CN"/>
        </w:rPr>
        <w:t>；</w:t>
      </w:r>
      <w:r>
        <w:rPr>
          <w:rFonts w:hint="eastAsia" w:ascii="宋体" w:hAnsi="宋体" w:cs="宋体"/>
          <w:color w:val="auto"/>
          <w:szCs w:val="24"/>
          <w:highlight w:val="none"/>
          <w:u w:val="single"/>
          <w:lang w:val="en-US" w:eastAsia="zh-CN"/>
        </w:rPr>
        <w:t>下期租金应在上期租赁期限届满前1个月付清。</w:t>
      </w:r>
    </w:p>
    <w:p w14:paraId="494A8111">
      <w:pPr>
        <w:pStyle w:val="4"/>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）。乙方在履约期间，如有拖欠租金、违约行为或相关费用等情形，甲方可以在上述保证金中扣除或先予支付上述费用，保证金不足部分，乙方须在接到甲方通知后10天内予以补足。</w:t>
      </w:r>
    </w:p>
    <w:p w14:paraId="1FC15555">
      <w:pPr>
        <w:pStyle w:val="4"/>
        <w:spacing w:line="380" w:lineRule="exact"/>
        <w:rPr>
          <w:rFonts w:hint="eastAsia" w:ascii="宋体" w:hAnsi="宋体" w:cs="宋体"/>
          <w:color w:val="auto"/>
          <w:szCs w:val="24"/>
          <w:highlight w:val="none"/>
        </w:rPr>
      </w:pPr>
      <w:r>
        <w:rPr>
          <w:rFonts w:hint="eastAsia" w:ascii="宋体" w:hAnsi="宋体" w:cs="宋体"/>
          <w:color w:val="auto"/>
          <w:szCs w:val="24"/>
          <w:highlight w:val="none"/>
        </w:rPr>
        <w:t>（三）乙方须在约定的时间前将应缴的首年租金和有关费用存入甲方指定帐户，甲方向乙方开具租金发票，租赁税等一切税、费均由乙方承担并自行结算（含甲方因租赁关系</w:t>
      </w:r>
      <w:bookmarkStart w:id="0" w:name="_GoBack"/>
      <w:bookmarkEnd w:id="0"/>
      <w:r>
        <w:rPr>
          <w:rFonts w:hint="eastAsia" w:ascii="宋体" w:hAnsi="宋体" w:cs="宋体"/>
          <w:color w:val="auto"/>
          <w:szCs w:val="24"/>
          <w:highlight w:val="none"/>
        </w:rPr>
        <w:t>需向税务等有关部门缴纳的一切税费）。</w:t>
      </w:r>
    </w:p>
    <w:p w14:paraId="12ECF52D">
      <w:pPr>
        <w:pStyle w:val="4"/>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1882225">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620B65EC">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20752EE">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3785E4C7">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677758E8">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71D3F1DE">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F0DCE6A">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-1572260</wp:posOffset>
            </wp:positionV>
            <wp:extent cx="5271770" cy="5833110"/>
            <wp:effectExtent l="0" t="0" r="5080" b="15240"/>
            <wp:wrapNone/>
            <wp:docPr id="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解除本合同，并要求乙方赔偿损失。</w:t>
      </w:r>
    </w:p>
    <w:p w14:paraId="69C22991">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7E04D053">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039F938E">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担。</w:t>
      </w:r>
    </w:p>
    <w:p w14:paraId="4A212E10">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E9F4284">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1D77983C">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697787D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0E78B224">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12864E32">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0F7F993D">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42ABA911">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3D4768D4">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 2个月以书面形式通知对方，经双方协商一致后，方可办理合同解除手续。</w:t>
      </w:r>
    </w:p>
    <w:p w14:paraId="7ED5CE4D">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DD52773">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6052425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5A999CE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E1E2D95">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5B9C9397">
      <w:pPr>
        <w:pStyle w:val="4"/>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w:t>
      </w:r>
      <w:r>
        <w:rPr>
          <w:rFonts w:hint="eastAsia" w:ascii="宋体" w:hAnsi="宋体"/>
          <w:b/>
          <w:bCs/>
          <w:color w:val="auto"/>
          <w:sz w:val="44"/>
          <w:szCs w:val="44"/>
          <w:highlight w:val="none"/>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-1572260</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Cs w:val="24"/>
        </w:rPr>
        <w:t>意破坏或非不可抗力，致使房产损坏的。</w:t>
      </w:r>
    </w:p>
    <w:p w14:paraId="757C2315">
      <w:pPr>
        <w:pStyle w:val="4"/>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09788">
      <w:pPr>
        <w:pStyle w:val="4"/>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71E3D397">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C1029">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4122CC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FD1D512">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291FAC7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（六）甲乙双方任何一方若出现符合上述第（三）、（四）款单方解除合同情形时，守约方解除合同的书面通知送达对方时生效，生效当天本合同解除。</w:t>
      </w:r>
    </w:p>
    <w:p w14:paraId="69F65E4E">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6331769D">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77FA84B8">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2216D10">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689925DD">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FF2E93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79482EC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5B3C3C1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44B95B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4A8A61A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577ABF07">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2E750D46">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2086C625">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21EB67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20520439">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（三）乙方在租赁期间若发生经营、合</w:t>
      </w:r>
      <w:r>
        <w:rPr>
          <w:rFonts w:hint="eastAsia" w:ascii="宋体" w:hAnsi="宋体"/>
          <w:b/>
          <w:bCs/>
          <w:color w:val="auto"/>
          <w:sz w:val="44"/>
          <w:szCs w:val="44"/>
          <w:highlight w:val="none"/>
          <w:lang w:val="en-US" w:eastAsia="zh-CN"/>
        </w:rPr>
        <w:drawing>
          <wp:anchor distT="0" distB="0" distL="114300" distR="114300" simplePos="0" relativeHeight="251677696" behindDoc="1" locked="0" layoutInCell="1" allowOverlap="1">
            <wp:simplePos x="0" y="0"/>
            <wp:positionH relativeFrom="column">
              <wp:posOffset>453390</wp:posOffset>
            </wp:positionH>
            <wp:positionV relativeFrom="paragraph">
              <wp:posOffset>-2448560</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同、劳资等纠纷或者责任事故，由乙方自行负责，与甲方无关。</w:t>
      </w:r>
    </w:p>
    <w:p w14:paraId="1FB344A5">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765845A">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72D947E1">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29AC6657">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4E9AD0FC">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235A75C8">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18389B3F">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12E1F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DD1F25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0369DDF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CF8917">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2A0B8D3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9AF2AF7">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5E85C470">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4586BE3C">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415470F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445F6523">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2A3C86C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AC5019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61D3B96F">
      <w:pPr>
        <w:pStyle w:val="4"/>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7A318973">
      <w:pPr>
        <w:pStyle w:val="4"/>
        <w:spacing w:line="380" w:lineRule="exact"/>
        <w:ind w:left="240" w:hanging="240" w:hangingChars="100"/>
        <w:rPr>
          <w:rFonts w:ascii="宋体" w:hAnsi="宋体" w:cs="宋体"/>
          <w:szCs w:val="24"/>
        </w:rPr>
      </w:pPr>
    </w:p>
    <w:p w14:paraId="3F5466C7">
      <w:pPr>
        <w:pStyle w:val="4"/>
        <w:spacing w:line="380" w:lineRule="exact"/>
        <w:ind w:left="240" w:hanging="240" w:hangingChars="100"/>
        <w:rPr>
          <w:rFonts w:ascii="宋体" w:hAnsi="宋体" w:cs="宋体"/>
          <w:szCs w:val="24"/>
        </w:rPr>
      </w:pPr>
    </w:p>
    <w:p w14:paraId="171EF8B3">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72A3131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4FEDD7D">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442E3983">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highlight w:val="none"/>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-1572260</wp:posOffset>
            </wp:positionV>
            <wp:extent cx="5271770" cy="5833110"/>
            <wp:effectExtent l="0" t="0" r="5080" b="15240"/>
            <wp:wrapNone/>
            <wp:docPr id="1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0B8FC66">
      <w:pPr>
        <w:spacing w:line="380" w:lineRule="exact"/>
        <w:ind w:right="480" w:firstLine="4320" w:firstLineChars="1800"/>
        <w:rPr>
          <w:rFonts w:hint="eastAsia" w:ascii="宋体" w:hAnsi="宋体" w:cs="宋体"/>
          <w:sz w:val="24"/>
          <w:szCs w:val="24"/>
        </w:rPr>
      </w:pPr>
    </w:p>
    <w:p w14:paraId="581C87AD">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4634EC9A">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067F40">
      <w:pPr>
        <w:spacing w:line="380" w:lineRule="exact"/>
        <w:ind w:right="480" w:firstLine="4320" w:firstLineChars="1800"/>
        <w:rPr>
          <w:rFonts w:hint="eastAsia" w:ascii="宋体" w:hAnsi="宋体" w:cs="宋体"/>
          <w:sz w:val="24"/>
          <w:szCs w:val="24"/>
        </w:rPr>
      </w:pPr>
    </w:p>
    <w:p w14:paraId="28BAF51B">
      <w:pPr>
        <w:spacing w:line="380" w:lineRule="exact"/>
        <w:ind w:right="480" w:firstLine="4320" w:firstLineChars="1800"/>
        <w:rPr>
          <w:rFonts w:hint="eastAsia" w:ascii="宋体" w:hAnsi="宋体" w:cs="宋体"/>
          <w:sz w:val="24"/>
          <w:szCs w:val="24"/>
        </w:rPr>
      </w:pPr>
    </w:p>
    <w:p w14:paraId="3C3F3230">
      <w:pPr>
        <w:spacing w:line="380" w:lineRule="exact"/>
        <w:ind w:right="480" w:firstLine="4320" w:firstLineChars="1800"/>
        <w:rPr>
          <w:rFonts w:hint="eastAsia" w:ascii="宋体" w:hAnsi="宋体" w:cs="宋体"/>
          <w:sz w:val="24"/>
          <w:szCs w:val="24"/>
        </w:rPr>
      </w:pPr>
    </w:p>
    <w:p w14:paraId="7FEFEACC">
      <w:pPr>
        <w:spacing w:line="380" w:lineRule="exact"/>
        <w:ind w:right="480" w:firstLine="4320" w:firstLineChars="1800"/>
        <w:rPr>
          <w:rFonts w:hint="eastAsia" w:ascii="宋体" w:hAnsi="宋体" w:cs="宋体"/>
          <w:sz w:val="24"/>
          <w:szCs w:val="24"/>
        </w:rPr>
      </w:pPr>
    </w:p>
    <w:p w14:paraId="43E048C3">
      <w:pPr>
        <w:spacing w:line="380" w:lineRule="exact"/>
        <w:ind w:right="480" w:firstLine="4320" w:firstLineChars="1800"/>
        <w:rPr>
          <w:rFonts w:hint="eastAsia" w:ascii="宋体" w:hAnsi="宋体" w:cs="宋体"/>
          <w:sz w:val="24"/>
          <w:szCs w:val="24"/>
        </w:rPr>
      </w:pPr>
    </w:p>
    <w:p w14:paraId="344E0BC8">
      <w:pPr>
        <w:spacing w:line="380" w:lineRule="exact"/>
        <w:ind w:right="480" w:firstLine="4320" w:firstLineChars="1800"/>
        <w:rPr>
          <w:rFonts w:hint="eastAsia" w:ascii="宋体" w:hAnsi="宋体" w:cs="宋体"/>
          <w:sz w:val="24"/>
          <w:szCs w:val="24"/>
        </w:rPr>
      </w:pPr>
    </w:p>
    <w:p w14:paraId="2715DCC3">
      <w:pPr>
        <w:spacing w:line="380" w:lineRule="exact"/>
        <w:ind w:right="480" w:firstLine="4320" w:firstLineChars="1800"/>
        <w:rPr>
          <w:rFonts w:hint="eastAsia" w:ascii="宋体" w:hAnsi="宋体" w:cs="宋体"/>
          <w:sz w:val="24"/>
          <w:szCs w:val="24"/>
        </w:rPr>
      </w:pPr>
    </w:p>
    <w:p w14:paraId="064F8935">
      <w:pPr>
        <w:spacing w:line="380" w:lineRule="exact"/>
        <w:ind w:right="480" w:firstLine="4320" w:firstLineChars="1800"/>
        <w:rPr>
          <w:rFonts w:hint="eastAsia" w:ascii="宋体" w:hAnsi="宋体" w:cs="宋体"/>
          <w:sz w:val="24"/>
          <w:szCs w:val="24"/>
        </w:rPr>
      </w:pPr>
    </w:p>
    <w:p w14:paraId="504D5E9B">
      <w:pPr>
        <w:spacing w:line="380" w:lineRule="exact"/>
        <w:ind w:right="480" w:firstLine="4320" w:firstLineChars="1800"/>
        <w:rPr>
          <w:rFonts w:hint="eastAsia" w:ascii="宋体" w:hAnsi="宋体" w:cs="宋体"/>
          <w:sz w:val="24"/>
          <w:szCs w:val="24"/>
        </w:rPr>
      </w:pPr>
    </w:p>
    <w:p w14:paraId="443B550F">
      <w:pPr>
        <w:spacing w:line="380" w:lineRule="exact"/>
        <w:ind w:right="480" w:firstLine="4320" w:firstLineChars="1800"/>
        <w:rPr>
          <w:rFonts w:hint="eastAsia" w:ascii="宋体" w:hAnsi="宋体" w:cs="宋体"/>
          <w:sz w:val="24"/>
          <w:szCs w:val="24"/>
        </w:rPr>
      </w:pPr>
    </w:p>
    <w:p w14:paraId="0376B392">
      <w:pPr>
        <w:spacing w:line="380" w:lineRule="exact"/>
        <w:ind w:right="480"/>
        <w:rPr>
          <w:rFonts w:hint="eastAsia" w:ascii="宋体" w:hAnsi="宋体" w:cs="宋体"/>
          <w:sz w:val="24"/>
          <w:szCs w:val="24"/>
        </w:rPr>
      </w:pPr>
    </w:p>
    <w:p w14:paraId="4FC2CD28">
      <w:pPr>
        <w:pStyle w:val="3"/>
        <w:rPr>
          <w:rFonts w:hint="eastAsia"/>
        </w:rPr>
      </w:pPr>
    </w:p>
    <w:p w14:paraId="7F634BA7">
      <w:pPr>
        <w:spacing w:line="380" w:lineRule="exact"/>
        <w:ind w:right="480"/>
        <w:rPr>
          <w:rFonts w:hint="eastAsia" w:ascii="宋体" w:hAnsi="宋体" w:cs="宋体"/>
          <w:sz w:val="24"/>
          <w:szCs w:val="24"/>
        </w:rPr>
      </w:pPr>
    </w:p>
    <w:p w14:paraId="35F365BE">
      <w:pPr>
        <w:tabs>
          <w:tab w:val="left" w:pos="0"/>
          <w:tab w:val="center" w:pos="4200"/>
        </w:tabs>
        <w:spacing w:line="520" w:lineRule="exact"/>
        <w:ind w:right="105" w:rightChars="50"/>
        <w:jc w:val="both"/>
        <w:rPr>
          <w:rFonts w:hint="eastAsia" w:ascii="黑体" w:hAnsi="黑体" w:eastAsia="黑体" w:cs="黑体"/>
          <w:sz w:val="36"/>
          <w:szCs w:val="36"/>
        </w:rPr>
      </w:pPr>
    </w:p>
    <w:p w14:paraId="37659C06">
      <w:pPr>
        <w:tabs>
          <w:tab w:val="left" w:pos="0"/>
          <w:tab w:val="center" w:pos="4200"/>
        </w:tabs>
        <w:spacing w:line="520" w:lineRule="exact"/>
        <w:ind w:right="105" w:rightChars="50"/>
        <w:jc w:val="center"/>
        <w:rPr>
          <w:rFonts w:hint="eastAsia" w:ascii="黑体" w:hAnsi="黑体" w:eastAsia="黑体" w:cs="黑体"/>
          <w:sz w:val="36"/>
          <w:szCs w:val="36"/>
        </w:rPr>
      </w:pPr>
    </w:p>
    <w:p w14:paraId="3ECADD1B">
      <w:pPr>
        <w:pStyle w:val="3"/>
        <w:rPr>
          <w:rFonts w:hint="eastAsia"/>
        </w:rPr>
      </w:pPr>
    </w:p>
    <w:p w14:paraId="26351700">
      <w:pPr>
        <w:rPr>
          <w:rFonts w:hint="eastAsia"/>
        </w:rPr>
      </w:pPr>
    </w:p>
    <w:p w14:paraId="2B540742">
      <w:pPr>
        <w:pStyle w:val="3"/>
        <w:rPr>
          <w:rFonts w:hint="eastAsia"/>
        </w:rPr>
      </w:pPr>
    </w:p>
    <w:p w14:paraId="3D806041">
      <w:pPr>
        <w:rPr>
          <w:rFonts w:hint="eastAsia"/>
        </w:rPr>
      </w:pPr>
    </w:p>
    <w:p w14:paraId="7D12E8A3">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27B9379">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483A1A00">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68549A40">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E1C39F4">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2B6B1974">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653D5A8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41438AF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1FE1C1DD">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1B56BA13">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479859D8">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51E8F35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F185D47">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65DDC10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C3F3A6D">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574D9EF">
      <w:pPr>
        <w:spacing w:line="380" w:lineRule="exact"/>
        <w:rPr>
          <w:rFonts w:hint="eastAsia" w:ascii="宋体" w:hAnsi="宋体" w:cs="宋体"/>
          <w:sz w:val="21"/>
          <w:szCs w:val="21"/>
        </w:rPr>
      </w:pPr>
    </w:p>
    <w:p w14:paraId="05C40D7E">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2703D434">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544C542E">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2B97F4A5">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BF2861F">
      <w:pPr>
        <w:pStyle w:val="18"/>
        <w:spacing w:line="380" w:lineRule="exact"/>
        <w:ind w:firstLine="3885" w:firstLineChars="1850"/>
        <w:rPr>
          <w:rFonts w:hint="eastAsia" w:ascii="华文仿宋" w:hAnsi="华文仿宋" w:eastAsia="华文仿宋" w:cs="华文仿宋"/>
          <w:sz w:val="21"/>
          <w:szCs w:val="21"/>
        </w:rPr>
      </w:pPr>
    </w:p>
    <w:p w14:paraId="7E0AE261">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r>
        <w:rPr>
          <w:sz w:val="21"/>
        </w:rPr>
        <mc:AlternateContent>
          <mc:Choice Requires="wps">
            <w:drawing>
              <wp:anchor distT="0" distB="0" distL="114300" distR="114300" simplePos="0" relativeHeight="251670528" behindDoc="0" locked="0" layoutInCell="1" allowOverlap="1">
                <wp:simplePos x="0" y="0"/>
                <wp:positionH relativeFrom="column">
                  <wp:posOffset>131445</wp:posOffset>
                </wp:positionH>
                <wp:positionV relativeFrom="paragraph">
                  <wp:posOffset>123825</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wps:txbx>
                      <wps:bodyPr vert="horz" wrap="square" anchor="t" anchorCtr="0" upright="1"/>
                    </wps:wsp>
                  </a:graphicData>
                </a:graphic>
              </wp:anchor>
            </w:drawing>
          </mc:Choice>
          <mc:Fallback>
            <w:pict>
              <v:shape id="文本框 21" o:spid="_x0000_s1026" o:spt="202" type="#_x0000_t202" style="position:absolute;left:0pt;margin-left:10.35pt;margin-top:9.75pt;height:94.5pt;width:478.5pt;z-index:251670528;mso-width-relative:page;mso-height-relative:page;" fillcolor="#FFFFFF" filled="t" stroked="t" coordsize="21600,21600" o:gfxdata="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TDvHdQAAAAJAQAADwAAAAAAAAABACAAAAAiAAAAZHJzL2Rvd25yZXYueG1sUEsBAhQAFAAA&#10;AAgAh07iQE410MdlAgAAAQUAAA4AAAAAAAAAAQAgAAAAIwEAAGRycy9lMm9Eb2MueG1sUEsFBgAA&#10;AAAGAAYAWQEAAPoFAAAAAA==&#10;">
                <v:fill type="gradient" on="t" color2="#FFFFFF" angle="90" focus="100%" focussize="0,0">
                  <o:fill type="gradientUnscaled" v:ext="backwardCompatible"/>
                </v:fill>
                <v:stroke weight="0.5pt" color="#000000" joinstyle="miter"/>
                <v:imagedata o:title=""/>
                <o:lock v:ext="edit" aspectratio="f"/>
                <v:textbo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v:textbox>
              </v:shape>
            </w:pict>
          </mc:Fallback>
        </mc:AlternateContent>
      </w:r>
    </w:p>
    <w:p w14:paraId="778967DC"/>
    <w:p w14:paraId="2458EFA1">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2DA">
    <w:pPr>
      <w:pStyle w:val="6"/>
      <w:framePr w:wrap="around" w:vAnchor="text" w:hAnchor="margin" w:xAlign="center" w:y="1"/>
      <w:rPr>
        <w:rStyle w:val="14"/>
        <w:rFonts w:hint="eastAsia"/>
      </w:rPr>
    </w:pPr>
  </w:p>
  <w:p w14:paraId="61B3317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A9D7">
    <w:pPr>
      <w:pStyle w:val="6"/>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6AD64C0F">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33E4">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6"/>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v:textbox>
            </v:shape>
          </w:pict>
        </mc:Fallback>
      </mc:AlternateContent>
    </w:r>
  </w:p>
  <w:p w14:paraId="740265FF">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2ACB">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776F3B4">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8C01">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3CB4BE4">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100531"/>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D2915"/>
    <w:rsid w:val="05832D9D"/>
    <w:rsid w:val="05924D4E"/>
    <w:rsid w:val="05A131E3"/>
    <w:rsid w:val="05C72C4A"/>
    <w:rsid w:val="05E15C61"/>
    <w:rsid w:val="05EE0416"/>
    <w:rsid w:val="061816F7"/>
    <w:rsid w:val="063D6CE4"/>
    <w:rsid w:val="0644429B"/>
    <w:rsid w:val="0648365F"/>
    <w:rsid w:val="065D02DA"/>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7654E2"/>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0366D"/>
    <w:rsid w:val="0A626E7C"/>
    <w:rsid w:val="0A650C83"/>
    <w:rsid w:val="0A670558"/>
    <w:rsid w:val="0A782765"/>
    <w:rsid w:val="0A7964DD"/>
    <w:rsid w:val="0A8C6210"/>
    <w:rsid w:val="0A900037"/>
    <w:rsid w:val="0ABD08DF"/>
    <w:rsid w:val="0B0264D2"/>
    <w:rsid w:val="0B050935"/>
    <w:rsid w:val="0B424B21"/>
    <w:rsid w:val="0B48482D"/>
    <w:rsid w:val="0B645741"/>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1D728F"/>
    <w:rsid w:val="0E462B7A"/>
    <w:rsid w:val="0E4A0F5E"/>
    <w:rsid w:val="0E9438E5"/>
    <w:rsid w:val="0EA31D7A"/>
    <w:rsid w:val="0EC73CBB"/>
    <w:rsid w:val="0EC94887"/>
    <w:rsid w:val="0ECA5559"/>
    <w:rsid w:val="0ECF57CF"/>
    <w:rsid w:val="0EF34AB0"/>
    <w:rsid w:val="0F0A1DF9"/>
    <w:rsid w:val="0F0C15EE"/>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143F59"/>
    <w:rsid w:val="11365128"/>
    <w:rsid w:val="114474AA"/>
    <w:rsid w:val="114964B7"/>
    <w:rsid w:val="116C28F7"/>
    <w:rsid w:val="11875983"/>
    <w:rsid w:val="11877731"/>
    <w:rsid w:val="118E6D12"/>
    <w:rsid w:val="119058ED"/>
    <w:rsid w:val="119F0F1F"/>
    <w:rsid w:val="11CE7F85"/>
    <w:rsid w:val="11DF30C9"/>
    <w:rsid w:val="12086AC4"/>
    <w:rsid w:val="125308C6"/>
    <w:rsid w:val="125A7AA6"/>
    <w:rsid w:val="127777A6"/>
    <w:rsid w:val="12816876"/>
    <w:rsid w:val="12940358"/>
    <w:rsid w:val="12AA46E8"/>
    <w:rsid w:val="12B7114A"/>
    <w:rsid w:val="13001549"/>
    <w:rsid w:val="130354DD"/>
    <w:rsid w:val="13072531"/>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3C6FAC"/>
    <w:rsid w:val="1444190A"/>
    <w:rsid w:val="14537D9F"/>
    <w:rsid w:val="146E7573"/>
    <w:rsid w:val="147541B9"/>
    <w:rsid w:val="147A357D"/>
    <w:rsid w:val="148E31D0"/>
    <w:rsid w:val="149D101A"/>
    <w:rsid w:val="149D59A3"/>
    <w:rsid w:val="14AA5E6A"/>
    <w:rsid w:val="14B20501"/>
    <w:rsid w:val="14B4739A"/>
    <w:rsid w:val="14EE7DF3"/>
    <w:rsid w:val="14FC26DE"/>
    <w:rsid w:val="14FC3DFD"/>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F727F"/>
    <w:rsid w:val="1AC047DA"/>
    <w:rsid w:val="1AC6751C"/>
    <w:rsid w:val="1AE17EB2"/>
    <w:rsid w:val="1AF44DD8"/>
    <w:rsid w:val="1AFF18DB"/>
    <w:rsid w:val="1B134C01"/>
    <w:rsid w:val="1B21373F"/>
    <w:rsid w:val="1B2D42DC"/>
    <w:rsid w:val="1B44703D"/>
    <w:rsid w:val="1B486183"/>
    <w:rsid w:val="1B4A06C8"/>
    <w:rsid w:val="1B4D32E6"/>
    <w:rsid w:val="1B4E306E"/>
    <w:rsid w:val="1B55319F"/>
    <w:rsid w:val="1B851185"/>
    <w:rsid w:val="1BA23D33"/>
    <w:rsid w:val="1BB04A9C"/>
    <w:rsid w:val="1BC872C4"/>
    <w:rsid w:val="1BDD4B1E"/>
    <w:rsid w:val="1BE35EAC"/>
    <w:rsid w:val="1BEA4254"/>
    <w:rsid w:val="1C0D7A23"/>
    <w:rsid w:val="1C3B5CE8"/>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896B94"/>
    <w:rsid w:val="20C77B4A"/>
    <w:rsid w:val="20D464E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3BEB"/>
    <w:rsid w:val="22BB548D"/>
    <w:rsid w:val="22E76282"/>
    <w:rsid w:val="22EC5646"/>
    <w:rsid w:val="22F34410"/>
    <w:rsid w:val="231B5F2B"/>
    <w:rsid w:val="231D1975"/>
    <w:rsid w:val="231F5E48"/>
    <w:rsid w:val="234F2396"/>
    <w:rsid w:val="236B0C61"/>
    <w:rsid w:val="23783346"/>
    <w:rsid w:val="23A322E4"/>
    <w:rsid w:val="23F23130"/>
    <w:rsid w:val="2403533D"/>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02EEE"/>
    <w:rsid w:val="27412F7C"/>
    <w:rsid w:val="27483067"/>
    <w:rsid w:val="274A6DDF"/>
    <w:rsid w:val="274C6FFB"/>
    <w:rsid w:val="27513007"/>
    <w:rsid w:val="275D221F"/>
    <w:rsid w:val="27752476"/>
    <w:rsid w:val="277F0EAE"/>
    <w:rsid w:val="279664C8"/>
    <w:rsid w:val="27AD03A5"/>
    <w:rsid w:val="27C13896"/>
    <w:rsid w:val="27C44DE4"/>
    <w:rsid w:val="27C748D4"/>
    <w:rsid w:val="27E04561"/>
    <w:rsid w:val="27E533D0"/>
    <w:rsid w:val="27E71F60"/>
    <w:rsid w:val="27FA25B3"/>
    <w:rsid w:val="28074CD0"/>
    <w:rsid w:val="280800B8"/>
    <w:rsid w:val="281A0EA7"/>
    <w:rsid w:val="281E1473"/>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85218"/>
    <w:rsid w:val="29FE4E85"/>
    <w:rsid w:val="29FF65A7"/>
    <w:rsid w:val="2A202079"/>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E9754D"/>
    <w:rsid w:val="2E0777D8"/>
    <w:rsid w:val="2E1A575D"/>
    <w:rsid w:val="2E206AEC"/>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BD5A8E"/>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B71CA0"/>
    <w:rsid w:val="33E67E90"/>
    <w:rsid w:val="33E85828"/>
    <w:rsid w:val="33EB311B"/>
    <w:rsid w:val="33EC194A"/>
    <w:rsid w:val="33F627C9"/>
    <w:rsid w:val="33FD3B57"/>
    <w:rsid w:val="34030A42"/>
    <w:rsid w:val="34474DD2"/>
    <w:rsid w:val="34572B3B"/>
    <w:rsid w:val="34594B05"/>
    <w:rsid w:val="345D63A4"/>
    <w:rsid w:val="34611AA6"/>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AB75E3"/>
    <w:rsid w:val="35BA15D4"/>
    <w:rsid w:val="35C42453"/>
    <w:rsid w:val="35D22DC1"/>
    <w:rsid w:val="362E50E1"/>
    <w:rsid w:val="36764AC8"/>
    <w:rsid w:val="368A369C"/>
    <w:rsid w:val="36D131EC"/>
    <w:rsid w:val="36E061C9"/>
    <w:rsid w:val="36E86733"/>
    <w:rsid w:val="36F6663C"/>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8974B5"/>
    <w:rsid w:val="38927EA0"/>
    <w:rsid w:val="38934A8A"/>
    <w:rsid w:val="38995375"/>
    <w:rsid w:val="38A316BD"/>
    <w:rsid w:val="38A4483B"/>
    <w:rsid w:val="38AA584B"/>
    <w:rsid w:val="38ED3A6E"/>
    <w:rsid w:val="38FB43DD"/>
    <w:rsid w:val="39057D6B"/>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8D72B7"/>
    <w:rsid w:val="3AA06FEA"/>
    <w:rsid w:val="3AA50AA5"/>
    <w:rsid w:val="3AB605BC"/>
    <w:rsid w:val="3AC151B3"/>
    <w:rsid w:val="3AD2116E"/>
    <w:rsid w:val="3B105531"/>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5D28A5"/>
    <w:rsid w:val="3D600841"/>
    <w:rsid w:val="3D7F06E2"/>
    <w:rsid w:val="3D8C1AA8"/>
    <w:rsid w:val="3D932E36"/>
    <w:rsid w:val="3DAA4C29"/>
    <w:rsid w:val="3DB375B1"/>
    <w:rsid w:val="3DC85537"/>
    <w:rsid w:val="3DCB6A74"/>
    <w:rsid w:val="3DE96EFA"/>
    <w:rsid w:val="3E22630A"/>
    <w:rsid w:val="3E4660FB"/>
    <w:rsid w:val="3E467DCB"/>
    <w:rsid w:val="3E483C21"/>
    <w:rsid w:val="3E612F34"/>
    <w:rsid w:val="3E693B97"/>
    <w:rsid w:val="3E7F160D"/>
    <w:rsid w:val="3E8310FD"/>
    <w:rsid w:val="3E836830"/>
    <w:rsid w:val="3E8D0407"/>
    <w:rsid w:val="3E9A1FA2"/>
    <w:rsid w:val="3ECA2888"/>
    <w:rsid w:val="3EF03D85"/>
    <w:rsid w:val="3EF73899"/>
    <w:rsid w:val="3F035D9A"/>
    <w:rsid w:val="3F103276"/>
    <w:rsid w:val="3F160DD8"/>
    <w:rsid w:val="3F220916"/>
    <w:rsid w:val="3F286E52"/>
    <w:rsid w:val="3F381EE7"/>
    <w:rsid w:val="3F3C12AC"/>
    <w:rsid w:val="3F3E1078"/>
    <w:rsid w:val="3F6C393F"/>
    <w:rsid w:val="3F710F55"/>
    <w:rsid w:val="3F724CCD"/>
    <w:rsid w:val="3F8213B4"/>
    <w:rsid w:val="3F917636"/>
    <w:rsid w:val="3F9D05BB"/>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B34549"/>
    <w:rsid w:val="46B67B95"/>
    <w:rsid w:val="46C978C9"/>
    <w:rsid w:val="46CB3641"/>
    <w:rsid w:val="46CC1167"/>
    <w:rsid w:val="46E368EE"/>
    <w:rsid w:val="46E666CD"/>
    <w:rsid w:val="46EE37D3"/>
    <w:rsid w:val="470A2EDA"/>
    <w:rsid w:val="47116B02"/>
    <w:rsid w:val="47256E27"/>
    <w:rsid w:val="4762645B"/>
    <w:rsid w:val="476F092A"/>
    <w:rsid w:val="47797436"/>
    <w:rsid w:val="478D6B48"/>
    <w:rsid w:val="479954ED"/>
    <w:rsid w:val="479B1265"/>
    <w:rsid w:val="47F170D7"/>
    <w:rsid w:val="47F22E4F"/>
    <w:rsid w:val="4831454F"/>
    <w:rsid w:val="483F42E6"/>
    <w:rsid w:val="48435459"/>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B30D5B"/>
    <w:rsid w:val="4AB60164"/>
    <w:rsid w:val="4AC05487"/>
    <w:rsid w:val="4AC5484B"/>
    <w:rsid w:val="4ADB7BCB"/>
    <w:rsid w:val="4ADE1237"/>
    <w:rsid w:val="4ADE5503"/>
    <w:rsid w:val="4AEC627C"/>
    <w:rsid w:val="4AFB2A57"/>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753EE"/>
    <w:rsid w:val="4EAD7325"/>
    <w:rsid w:val="4EBE3A8B"/>
    <w:rsid w:val="4ED96B17"/>
    <w:rsid w:val="4EE96D5A"/>
    <w:rsid w:val="4EEE4370"/>
    <w:rsid w:val="4F2204BE"/>
    <w:rsid w:val="4F651001"/>
    <w:rsid w:val="4F6F53D9"/>
    <w:rsid w:val="4F755F1D"/>
    <w:rsid w:val="4FA437F9"/>
    <w:rsid w:val="4FE63299"/>
    <w:rsid w:val="4FEB7FB7"/>
    <w:rsid w:val="4FED4628"/>
    <w:rsid w:val="4FF74123"/>
    <w:rsid w:val="50055E16"/>
    <w:rsid w:val="50067498"/>
    <w:rsid w:val="50097FB2"/>
    <w:rsid w:val="501A1195"/>
    <w:rsid w:val="50406E4E"/>
    <w:rsid w:val="50553F96"/>
    <w:rsid w:val="50A35344"/>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25453F"/>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A5BC5"/>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B442F1"/>
    <w:rsid w:val="5BE2525D"/>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324D62"/>
    <w:rsid w:val="5E447739"/>
    <w:rsid w:val="5E525F9E"/>
    <w:rsid w:val="5E9465B6"/>
    <w:rsid w:val="5EA276B0"/>
    <w:rsid w:val="5EB5331E"/>
    <w:rsid w:val="5EC21A97"/>
    <w:rsid w:val="5EC46D1E"/>
    <w:rsid w:val="5F066AD1"/>
    <w:rsid w:val="5F103E8F"/>
    <w:rsid w:val="5F3062DF"/>
    <w:rsid w:val="5F586378"/>
    <w:rsid w:val="5F64242D"/>
    <w:rsid w:val="5F6D1B04"/>
    <w:rsid w:val="5F6E6E08"/>
    <w:rsid w:val="5F76298A"/>
    <w:rsid w:val="5F92781D"/>
    <w:rsid w:val="5FA62A45"/>
    <w:rsid w:val="5FB07420"/>
    <w:rsid w:val="5FBA3DFB"/>
    <w:rsid w:val="5FC15189"/>
    <w:rsid w:val="5FC44C79"/>
    <w:rsid w:val="5FDF77A1"/>
    <w:rsid w:val="5FF57ED0"/>
    <w:rsid w:val="600D6620"/>
    <w:rsid w:val="601E082E"/>
    <w:rsid w:val="60213E7A"/>
    <w:rsid w:val="60686F62"/>
    <w:rsid w:val="607D004F"/>
    <w:rsid w:val="60B44CEE"/>
    <w:rsid w:val="60BC68A6"/>
    <w:rsid w:val="611B6B1B"/>
    <w:rsid w:val="612400C6"/>
    <w:rsid w:val="61504A17"/>
    <w:rsid w:val="61564EDF"/>
    <w:rsid w:val="615D7134"/>
    <w:rsid w:val="61920923"/>
    <w:rsid w:val="61B74A96"/>
    <w:rsid w:val="61C7731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30619"/>
    <w:rsid w:val="63141A74"/>
    <w:rsid w:val="635C3CAF"/>
    <w:rsid w:val="637A221F"/>
    <w:rsid w:val="6390559E"/>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CE3C75"/>
    <w:rsid w:val="64DD0CB7"/>
    <w:rsid w:val="64ED6439"/>
    <w:rsid w:val="64F06BE2"/>
    <w:rsid w:val="64FC4E07"/>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20955"/>
    <w:rsid w:val="69686DFF"/>
    <w:rsid w:val="696D1B56"/>
    <w:rsid w:val="69806EDD"/>
    <w:rsid w:val="69C773AA"/>
    <w:rsid w:val="69C97A5C"/>
    <w:rsid w:val="69D56401"/>
    <w:rsid w:val="69E322C9"/>
    <w:rsid w:val="69E87F9B"/>
    <w:rsid w:val="69F93C6B"/>
    <w:rsid w:val="69F9617A"/>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5D623A"/>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B11C09"/>
    <w:rsid w:val="6EC9405A"/>
    <w:rsid w:val="6EE90259"/>
    <w:rsid w:val="6EED7D49"/>
    <w:rsid w:val="6EF50549"/>
    <w:rsid w:val="6F143527"/>
    <w:rsid w:val="6F22260E"/>
    <w:rsid w:val="6F307C36"/>
    <w:rsid w:val="6F4E5BE9"/>
    <w:rsid w:val="6F580DF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3F7E"/>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4948E1"/>
    <w:rsid w:val="756643B1"/>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778C4"/>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1"/>
    <w:pPr>
      <w:spacing w:before="52"/>
      <w:ind w:left="100"/>
    </w:pPr>
    <w:rPr>
      <w:rFonts w:ascii="宋体" w:hAnsi="宋体" w:eastAsia="宋体" w:cs="宋体"/>
      <w:sz w:val="24"/>
      <w:szCs w:val="24"/>
      <w:lang w:val="zh-CN" w:eastAsia="zh-CN" w:bidi="zh-CN"/>
    </w:rPr>
  </w:style>
  <w:style w:type="paragraph" w:styleId="3">
    <w:name w:val="Body Text First Indent"/>
    <w:basedOn w:val="2"/>
    <w:next w:val="1"/>
    <w:qFormat/>
    <w:uiPriority w:val="99"/>
    <w:pPr>
      <w:ind w:firstLine="420" w:firstLineChars="100"/>
    </w:pPr>
    <w:rPr>
      <w:kern w:val="0"/>
      <w:sz w:val="20"/>
      <w:szCs w:val="20"/>
    </w:rPr>
  </w:style>
  <w:style w:type="paragraph" w:styleId="4">
    <w:name w:val="Body Text Indent"/>
    <w:basedOn w:val="1"/>
    <w:qFormat/>
    <w:uiPriority w:val="0"/>
    <w:pPr>
      <w:spacing w:line="500" w:lineRule="exact"/>
      <w:ind w:firstLine="480" w:firstLineChars="200"/>
    </w:pPr>
    <w:rPr>
      <w:sz w:val="24"/>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9">
    <w:name w:val="Body Text First Indent 2"/>
    <w:basedOn w:val="4"/>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12680</Words>
  <Characters>13039</Characters>
  <Lines>74</Lines>
  <Paragraphs>20</Paragraphs>
  <TotalTime>3</TotalTime>
  <ScaleCrop>false</ScaleCrop>
  <LinksUpToDate>false</LinksUpToDate>
  <CharactersWithSpaces>14519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龙湾农产中心</cp:lastModifiedBy>
  <cp:lastPrinted>2024-03-27T17:30:00Z</cp:lastPrinted>
  <dcterms:modified xsi:type="dcterms:W3CDTF">2026-10-09T01:21:23Z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EFA505B1B2F04E8E84755FAE05A2676C_13</vt:lpwstr>
  </property>
  <property fmtid="{D5CDD505-2E9C-101B-9397-08002B2CF9AE}" pid="4" name="KSOTemplateDocerSaveRecord">
    <vt:lpwstr>eyJoZGlkIjoiNzYzNDZhZmRmZjM0NWUxNmJiOWFiNDI5YTEzYzUxNmEiLCJ1c2VySWQiOiIxNTk0MDAzNDA5In0=</vt:lpwstr>
  </property>
</Properties>
</file>