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温州市龙湾区沙城街道永福村村委大楼（永福大楼）一层北侧及二层北侧、一层南侧两宗房产五年租赁权竞价文件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温州市龙湾区沙城街道永福村村委大楼（永福大楼）一层北侧及二层北侧、一层南侧两宗房产五年租赁权竞价公告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温州市龙湾区沙城街道永福村村委大楼（永福大楼）一层北侧及二层北侧、一层南侧两宗房产五年租赁权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965"/>
        <w:gridCol w:w="1305"/>
        <w:gridCol w:w="1455"/>
        <w:gridCol w:w="1335"/>
        <w:gridCol w:w="1084"/>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965"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C1E2F66">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b/>
                <w:bCs/>
                <w:color w:val="auto"/>
                <w:sz w:val="24"/>
                <w:szCs w:val="24"/>
                <w:lang w:val="en-US" w:eastAsia="zh-CN"/>
              </w:rPr>
              <w:t>首</w:t>
            </w:r>
            <w:r>
              <w:rPr>
                <w:rFonts w:hint="eastAsia" w:ascii="Times New Roman" w:hAnsi="Times New Roman"/>
                <w:b/>
                <w:bCs/>
                <w:color w:val="auto"/>
                <w:sz w:val="24"/>
                <w:szCs w:val="24"/>
                <w:lang w:val="en-US" w:eastAsia="zh-CN"/>
              </w:rPr>
              <w:t>年租金</w:t>
            </w:r>
          </w:p>
          <w:p w14:paraId="0A739530">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1084" w:type="dxa"/>
            <w:tcBorders>
              <w:top w:val="single" w:color="000000" w:sz="4" w:space="0"/>
              <w:left w:val="nil"/>
              <w:bottom w:val="single" w:color="000000" w:sz="4" w:space="0"/>
              <w:right w:val="single" w:color="auto" w:sz="4" w:space="0"/>
            </w:tcBorders>
            <w:noWrap w:val="0"/>
            <w:vAlign w:val="center"/>
          </w:tcPr>
          <w:p w14:paraId="52C6CC90">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14:paraId="6172D4DD">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965" w:type="dxa"/>
            <w:vMerge w:val="restart"/>
            <w:tcBorders>
              <w:top w:val="single" w:color="000000" w:sz="4" w:space="0"/>
              <w:left w:val="single" w:color="000000" w:sz="4" w:space="0"/>
              <w:right w:val="single" w:color="000000" w:sz="4" w:space="0"/>
            </w:tcBorders>
            <w:noWrap w:val="0"/>
            <w:vAlign w:val="center"/>
          </w:tcPr>
          <w:p w14:paraId="5C1D9D59">
            <w:pPr>
              <w:keepNext w:val="0"/>
              <w:keepLines w:val="0"/>
              <w:widowControl/>
              <w:suppressLineNumbers w:val="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温州市龙湾区沙城街道永福村村委大楼（永福大楼）一层北侧及二层北侧房产五年租赁权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CEACFEF">
            <w:pPr>
              <w:spacing w:line="300" w:lineRule="exact"/>
              <w:jc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一层北侧    </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80585BD">
            <w:pPr>
              <w:spacing w:line="300" w:lineRule="exact"/>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约232㎡</w:t>
            </w:r>
          </w:p>
        </w:tc>
        <w:tc>
          <w:tcPr>
            <w:tcW w:w="1335" w:type="dxa"/>
            <w:vMerge w:val="restart"/>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88332元</w:t>
            </w:r>
          </w:p>
        </w:tc>
        <w:tc>
          <w:tcPr>
            <w:tcW w:w="1084" w:type="dxa"/>
            <w:vMerge w:val="restart"/>
            <w:tcBorders>
              <w:top w:val="single" w:color="000000" w:sz="4" w:space="0"/>
              <w:left w:val="nil"/>
              <w:right w:val="single" w:color="auto" w:sz="4" w:space="0"/>
            </w:tcBorders>
            <w:noWrap w:val="0"/>
            <w:vAlign w:val="center"/>
          </w:tcPr>
          <w:p w14:paraId="63692BB7">
            <w:pPr>
              <w:spacing w:line="300" w:lineRule="exact"/>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8万元     </w:t>
            </w:r>
          </w:p>
        </w:tc>
      </w:tr>
      <w:tr w14:paraId="3A74C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14:paraId="5B1D622F">
            <w:pPr>
              <w:keepNext w:val="0"/>
              <w:keepLines w:val="0"/>
              <w:suppressLineNumbers w:val="0"/>
              <w:spacing w:before="0" w:beforeAutospacing="0" w:after="0" w:afterAutospacing="0" w:line="300" w:lineRule="exact"/>
              <w:ind w:left="0" w:right="0"/>
              <w:jc w:val="center"/>
              <w:rPr>
                <w:rFonts w:hint="default"/>
                <w:szCs w:val="20"/>
              </w:rPr>
            </w:pPr>
          </w:p>
        </w:tc>
        <w:tc>
          <w:tcPr>
            <w:tcW w:w="3965" w:type="dxa"/>
            <w:vMerge w:val="continue"/>
            <w:tcBorders>
              <w:left w:val="single" w:color="000000" w:sz="4" w:space="0"/>
              <w:right w:val="single" w:color="000000" w:sz="4" w:space="0"/>
            </w:tcBorders>
            <w:noWrap w:val="0"/>
            <w:vAlign w:val="center"/>
          </w:tcPr>
          <w:p w14:paraId="698EDBEB">
            <w:pPr>
              <w:spacing w:line="300" w:lineRule="exact"/>
              <w:jc w:val="center"/>
              <w:rPr>
                <w:rFonts w:hint="default"/>
                <w:szCs w:val="20"/>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6CAA2F44">
            <w:pPr>
              <w:spacing w:line="300" w:lineRule="exact"/>
              <w:jc w:val="center"/>
              <w:rPr>
                <w:rFonts w:hint="default"/>
                <w:szCs w:val="20"/>
              </w:rPr>
            </w:pPr>
            <w:r>
              <w:rPr>
                <w:rFonts w:hint="eastAsia" w:ascii="宋体" w:hAnsi="宋体" w:eastAsia="宋体" w:cs="宋体"/>
                <w:sz w:val="24"/>
                <w:szCs w:val="24"/>
                <w:lang w:val="en-US" w:eastAsia="zh-CN"/>
              </w:rPr>
              <w:t>二层北侧</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91027C7">
            <w:pPr>
              <w:spacing w:line="300" w:lineRule="exact"/>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225㎡</w:t>
            </w:r>
          </w:p>
        </w:tc>
        <w:tc>
          <w:tcPr>
            <w:tcW w:w="1335" w:type="dxa"/>
            <w:vMerge w:val="continue"/>
            <w:tcBorders>
              <w:left w:val="single" w:color="000000" w:sz="4" w:space="0"/>
              <w:right w:val="single" w:color="000000" w:sz="4" w:space="0"/>
            </w:tcBorders>
            <w:noWrap w:val="0"/>
            <w:vAlign w:val="center"/>
          </w:tcPr>
          <w:p w14:paraId="34986E46">
            <w:pPr>
              <w:spacing w:line="300" w:lineRule="exact"/>
              <w:jc w:val="center"/>
              <w:rPr>
                <w:rFonts w:hint="default"/>
                <w:szCs w:val="20"/>
              </w:rPr>
            </w:pPr>
          </w:p>
        </w:tc>
        <w:tc>
          <w:tcPr>
            <w:tcW w:w="1084" w:type="dxa"/>
            <w:vMerge w:val="continue"/>
            <w:tcBorders>
              <w:left w:val="nil"/>
              <w:right w:val="single" w:color="auto" w:sz="4" w:space="0"/>
            </w:tcBorders>
            <w:noWrap w:val="0"/>
            <w:vAlign w:val="center"/>
          </w:tcPr>
          <w:p w14:paraId="116B9B5E">
            <w:pPr>
              <w:spacing w:line="300" w:lineRule="exact"/>
              <w:jc w:val="center"/>
              <w:rPr>
                <w:rFonts w:hint="default"/>
                <w:szCs w:val="20"/>
              </w:rPr>
            </w:pPr>
          </w:p>
        </w:tc>
      </w:tr>
      <w:tr w14:paraId="46EAC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bottom w:val="single" w:color="000000" w:sz="4" w:space="0"/>
              <w:right w:val="single" w:color="000000" w:sz="4" w:space="0"/>
            </w:tcBorders>
            <w:noWrap w:val="0"/>
            <w:vAlign w:val="center"/>
          </w:tcPr>
          <w:p w14:paraId="65B7FF5C">
            <w:pPr>
              <w:keepNext w:val="0"/>
              <w:keepLines w:val="0"/>
              <w:suppressLineNumbers w:val="0"/>
              <w:spacing w:before="0" w:beforeAutospacing="0" w:after="0" w:afterAutospacing="0" w:line="300" w:lineRule="exact"/>
              <w:ind w:left="0" w:right="0"/>
              <w:jc w:val="center"/>
              <w:rPr>
                <w:rFonts w:hint="default"/>
                <w:szCs w:val="20"/>
              </w:rPr>
            </w:pPr>
          </w:p>
        </w:tc>
        <w:tc>
          <w:tcPr>
            <w:tcW w:w="3965" w:type="dxa"/>
            <w:vMerge w:val="continue"/>
            <w:tcBorders>
              <w:left w:val="single" w:color="000000" w:sz="4" w:space="0"/>
              <w:bottom w:val="single" w:color="000000" w:sz="4" w:space="0"/>
              <w:right w:val="single" w:color="000000" w:sz="4" w:space="0"/>
            </w:tcBorders>
            <w:noWrap w:val="0"/>
            <w:vAlign w:val="center"/>
          </w:tcPr>
          <w:p w14:paraId="08FD31FE">
            <w:pPr>
              <w:spacing w:line="300" w:lineRule="exact"/>
              <w:jc w:val="center"/>
              <w:rPr>
                <w:rFonts w:hint="default"/>
                <w:szCs w:val="20"/>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33C6CB7">
            <w:pPr>
              <w:spacing w:line="300" w:lineRule="exact"/>
              <w:jc w:val="center"/>
              <w:rPr>
                <w:rFonts w:hint="default"/>
                <w:szCs w:val="20"/>
              </w:rPr>
            </w:pPr>
            <w:r>
              <w:rPr>
                <w:rFonts w:hint="eastAsia" w:ascii="宋体" w:hAnsi="宋体" w:eastAsia="宋体" w:cs="宋体"/>
                <w:sz w:val="24"/>
                <w:szCs w:val="24"/>
                <w:lang w:val="en-US" w:eastAsia="zh-CN"/>
              </w:rPr>
              <w:t>合计</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A8C2396">
            <w:pPr>
              <w:spacing w:line="300" w:lineRule="exact"/>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457㎡</w:t>
            </w:r>
          </w:p>
        </w:tc>
        <w:tc>
          <w:tcPr>
            <w:tcW w:w="1335" w:type="dxa"/>
            <w:vMerge w:val="continue"/>
            <w:tcBorders>
              <w:left w:val="single" w:color="000000" w:sz="4" w:space="0"/>
              <w:bottom w:val="single" w:color="000000" w:sz="4" w:space="0"/>
              <w:right w:val="single" w:color="000000" w:sz="4" w:space="0"/>
            </w:tcBorders>
            <w:noWrap w:val="0"/>
            <w:vAlign w:val="center"/>
          </w:tcPr>
          <w:p w14:paraId="394CB456">
            <w:pPr>
              <w:spacing w:line="300" w:lineRule="exact"/>
              <w:jc w:val="center"/>
              <w:rPr>
                <w:rFonts w:hint="default"/>
                <w:szCs w:val="20"/>
              </w:rPr>
            </w:pPr>
          </w:p>
        </w:tc>
        <w:tc>
          <w:tcPr>
            <w:tcW w:w="1084" w:type="dxa"/>
            <w:vMerge w:val="continue"/>
            <w:tcBorders>
              <w:left w:val="nil"/>
              <w:bottom w:val="single" w:color="000000" w:sz="4" w:space="0"/>
              <w:right w:val="single" w:color="auto" w:sz="4" w:space="0"/>
            </w:tcBorders>
            <w:noWrap w:val="0"/>
            <w:vAlign w:val="center"/>
          </w:tcPr>
          <w:p w14:paraId="6669926C">
            <w:pPr>
              <w:spacing w:line="300" w:lineRule="exact"/>
              <w:jc w:val="center"/>
              <w:rPr>
                <w:rFonts w:hint="default"/>
                <w:szCs w:val="20"/>
              </w:rPr>
            </w:pPr>
          </w:p>
        </w:tc>
      </w:tr>
      <w:tr w14:paraId="49B3C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6707892B">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kern w:val="2"/>
                <w:sz w:val="24"/>
                <w:szCs w:val="24"/>
                <w:highlight w:val="none"/>
                <w:lang w:val="en-US" w:eastAsia="zh-CN" w:bidi="ar"/>
              </w:rPr>
            </w:pPr>
            <w:r>
              <w:rPr>
                <w:rFonts w:hint="eastAsia" w:ascii="宋体" w:hAnsi="宋体" w:cs="宋体"/>
                <w:b/>
                <w:bCs w:val="0"/>
                <w:kern w:val="2"/>
                <w:sz w:val="24"/>
                <w:szCs w:val="24"/>
                <w:highlight w:val="none"/>
                <w:lang w:val="en-US" w:eastAsia="zh-CN" w:bidi="ar"/>
              </w:rPr>
              <w:t>2</w:t>
            </w:r>
          </w:p>
        </w:tc>
        <w:tc>
          <w:tcPr>
            <w:tcW w:w="3965" w:type="dxa"/>
            <w:tcBorders>
              <w:top w:val="single" w:color="000000" w:sz="4" w:space="0"/>
              <w:left w:val="single" w:color="000000" w:sz="4" w:space="0"/>
              <w:bottom w:val="single" w:color="000000" w:sz="4" w:space="0"/>
              <w:right w:val="single" w:color="000000" w:sz="4" w:space="0"/>
            </w:tcBorders>
            <w:noWrap w:val="0"/>
            <w:vAlign w:val="center"/>
          </w:tcPr>
          <w:p w14:paraId="11522DBD">
            <w:pPr>
              <w:keepNext w:val="0"/>
              <w:keepLines w:val="0"/>
              <w:widowControl/>
              <w:suppressLineNumbers w:val="0"/>
              <w:jc w:val="center"/>
              <w:textAlignment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温州市龙湾区沙城街道永福村村委大楼（永福大楼）一层南侧房产五年租赁权</w:t>
            </w: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4648C6A9">
            <w:pPr>
              <w:spacing w:line="300" w:lineRule="exact"/>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Cs/>
                <w:kern w:val="2"/>
                <w:sz w:val="24"/>
                <w:szCs w:val="24"/>
                <w:highlight w:val="none"/>
                <w:u w:val="none"/>
                <w:lang w:val="en-US" w:eastAsia="zh-CN" w:bidi="ar-SA"/>
              </w:rPr>
              <w:t>约184㎡</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5241B00">
            <w:pPr>
              <w:keepNext w:val="0"/>
              <w:keepLines w:val="0"/>
              <w:widowControl/>
              <w:suppressLineNumbers w:val="0"/>
              <w:jc w:val="center"/>
              <w:textAlignment w:val="center"/>
              <w:rPr>
                <w:rFonts w:hint="eastAsia" w:ascii="Times New Roman" w:hAnsi="Times New Roman"/>
                <w:b/>
                <w:bCs/>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55200元</w:t>
            </w:r>
          </w:p>
        </w:tc>
        <w:tc>
          <w:tcPr>
            <w:tcW w:w="1084" w:type="dxa"/>
            <w:tcBorders>
              <w:top w:val="single" w:color="000000" w:sz="4" w:space="0"/>
              <w:left w:val="nil"/>
              <w:bottom w:val="single" w:color="000000" w:sz="4" w:space="0"/>
              <w:right w:val="single" w:color="auto" w:sz="4" w:space="0"/>
            </w:tcBorders>
            <w:noWrap w:val="0"/>
            <w:vAlign w:val="center"/>
          </w:tcPr>
          <w:p w14:paraId="1E29663A">
            <w:pPr>
              <w:spacing w:line="300" w:lineRule="exact"/>
              <w:jc w:val="center"/>
              <w:rPr>
                <w:rFonts w:hint="eastAsia" w:ascii="Times New Roman" w:hAnsi="Times New Roman"/>
                <w:b/>
                <w:bCs/>
                <w:sz w:val="24"/>
                <w:szCs w:val="24"/>
                <w:lang w:val="en-US" w:eastAsia="zh-CN"/>
              </w:rPr>
            </w:pPr>
            <w:r>
              <w:rPr>
                <w:rFonts w:hint="eastAsia" w:ascii="宋体" w:hAnsi="宋体" w:eastAsia="宋体" w:cs="宋体"/>
                <w:bCs/>
                <w:kern w:val="2"/>
                <w:sz w:val="24"/>
                <w:szCs w:val="24"/>
                <w:highlight w:val="none"/>
                <w:u w:val="none"/>
                <w:lang w:val="en-US" w:eastAsia="zh-CN" w:bidi="ar-SA"/>
              </w:rPr>
              <w:t>5万元</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3" w:hRule="atLeast"/>
          <w:jc w:val="center"/>
        </w:trPr>
        <w:tc>
          <w:tcPr>
            <w:tcW w:w="9903" w:type="dxa"/>
            <w:gridSpan w:val="6"/>
            <w:tcBorders>
              <w:top w:val="single" w:color="000000" w:sz="4" w:space="0"/>
              <w:left w:val="single" w:color="auto" w:sz="4" w:space="0"/>
              <w:bottom w:val="single" w:color="000000" w:sz="4" w:space="0"/>
              <w:right w:val="single" w:color="auto" w:sz="4" w:space="0"/>
            </w:tcBorders>
            <w:noWrap w:val="0"/>
            <w:vAlign w:val="center"/>
          </w:tcPr>
          <w:p w14:paraId="388410C4">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kern w:val="0"/>
                <w:sz w:val="24"/>
                <w:szCs w:val="24"/>
                <w:lang w:val="en-US" w:eastAsia="zh-CN" w:bidi="ar"/>
              </w:rPr>
              <w:t>租期5年，租金（不含税）一年一付，先付后用，第1-3年租金为竞价成交价，第4-5年租金在第3年租金基础上递增3%</w:t>
            </w:r>
            <w:r>
              <w:rPr>
                <w:rFonts w:hint="eastAsia" w:ascii="宋体" w:hAnsi="宋体" w:eastAsia="宋体" w:cs="宋体"/>
                <w:kern w:val="0"/>
                <w:sz w:val="24"/>
                <w:szCs w:val="24"/>
                <w:lang w:val="en-US" w:eastAsia="zh-CN" w:bidi="ar"/>
              </w:rPr>
              <w:t>。</w:t>
            </w:r>
          </w:p>
          <w:p w14:paraId="30E654A5">
            <w:pPr>
              <w:pStyle w:val="2"/>
              <w:keepNext w:val="0"/>
              <w:keepLines w:val="0"/>
              <w:numPr>
                <w:ilvl w:val="0"/>
                <w:numId w:val="0"/>
              </w:numPr>
              <w:suppressLineNumbers w:val="0"/>
              <w:spacing w:beforeAutospacing="0" w:after="0" w:afterAutospacing="0"/>
              <w:ind w:right="0" w:rightChars="0" w:firstLine="480" w:firstLineChars="200"/>
              <w:rPr>
                <w:rFonts w:hint="eastAsia" w:cs="宋体"/>
                <w:kern w:val="0"/>
                <w:sz w:val="24"/>
                <w:szCs w:val="24"/>
                <w:lang w:val="en-US" w:eastAsia="zh-CN" w:bidi="ar"/>
              </w:rPr>
            </w:pPr>
            <w:r>
              <w:rPr>
                <w:rFonts w:hint="eastAsia" w:ascii="宋体" w:hAnsi="宋体" w:eastAsia="宋体" w:cs="宋体"/>
                <w:kern w:val="0"/>
                <w:sz w:val="24"/>
                <w:szCs w:val="24"/>
                <w:lang w:val="en-US" w:eastAsia="zh-CN" w:bidi="ar"/>
              </w:rPr>
              <w:t>2.装修期1个月，不计租金及租期</w:t>
            </w:r>
            <w:r>
              <w:rPr>
                <w:rFonts w:hint="eastAsia" w:cs="宋体"/>
                <w:kern w:val="0"/>
                <w:sz w:val="24"/>
                <w:szCs w:val="24"/>
                <w:lang w:val="en-US" w:eastAsia="zh-CN" w:bidi="ar"/>
              </w:rPr>
              <w:t>。</w:t>
            </w:r>
          </w:p>
          <w:p w14:paraId="3C69BD12">
            <w:pPr>
              <w:pStyle w:val="2"/>
              <w:keepNext w:val="0"/>
              <w:keepLines w:val="0"/>
              <w:numPr>
                <w:ilvl w:val="0"/>
                <w:numId w:val="0"/>
              </w:numPr>
              <w:suppressLineNumbers w:val="0"/>
              <w:spacing w:beforeAutospacing="0" w:after="0" w:afterAutospacing="0"/>
              <w:ind w:right="0" w:rightChars="0" w:firstLine="480" w:firstLineChars="200"/>
              <w:rPr>
                <w:rFonts w:hint="default" w:cs="宋体"/>
                <w:kern w:val="0"/>
                <w:sz w:val="24"/>
                <w:szCs w:val="24"/>
                <w:lang w:val="en-US" w:eastAsia="zh-CN" w:bidi="ar"/>
              </w:rPr>
            </w:pPr>
            <w:r>
              <w:rPr>
                <w:rFonts w:hint="eastAsia" w:cs="宋体"/>
                <w:kern w:val="0"/>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089E2EF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w:t>
      </w:r>
      <w:r>
        <w:rPr>
          <w:rFonts w:hint="eastAsia" w:ascii="宋体" w:hAnsi="宋体" w:cs="宋体"/>
          <w:sz w:val="24"/>
          <w:szCs w:val="24"/>
          <w:highlight w:val="none"/>
          <w:lang w:val="en-US" w:eastAsia="zh-CN"/>
        </w:rPr>
        <w:t>有效存续且具备完全民事行为能力、能够独立承担民事责任的企业法人、其他经济组织及个体工商户。</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永福大楼村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bookmarkStart w:id="0" w:name="_GoBack"/>
      <w:bookmarkEnd w:id="0"/>
      <w:r>
        <w:rPr>
          <w:rFonts w:hint="eastAsia" w:ascii="宋体" w:hAnsi="宋体" w:cs="Times New Roman"/>
          <w:b/>
          <w:bCs/>
          <w:color w:val="auto"/>
          <w:sz w:val="24"/>
          <w:szCs w:val="24"/>
          <w:highlight w:val="none"/>
          <w:u w:val="none"/>
          <w:lang w:val="en-US" w:eastAsia="zh-CN"/>
        </w:rPr>
        <w:t>）</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w:t>
      </w:r>
      <w:r>
        <w:rPr>
          <w:rFonts w:hint="eastAsia" w:ascii="宋体" w:hAnsi="宋体" w:eastAsia="宋体" w:cs="宋体"/>
          <w:bCs/>
          <w:color w:val="auto"/>
          <w:kern w:val="2"/>
          <w:sz w:val="24"/>
          <w:szCs w:val="24"/>
          <w:highlight w:val="none"/>
          <w:u w:val="none"/>
          <w:lang w:val="en-US" w:eastAsia="zh-CN" w:bidi="ar-SA"/>
        </w:rPr>
        <w:t>首年租金成交价的10%（取整数）</w:t>
      </w:r>
      <w:r>
        <w:rPr>
          <w:rFonts w:hint="eastAsia" w:ascii="宋体" w:hAnsi="宋体" w:cs="宋体"/>
          <w:bCs/>
          <w:color w:val="auto"/>
          <w:kern w:val="2"/>
          <w:sz w:val="24"/>
          <w:szCs w:val="24"/>
          <w:highlight w:val="none"/>
          <w:u w:val="none"/>
          <w:lang w:val="en-US" w:eastAsia="zh-CN" w:bidi="ar-SA"/>
        </w:rPr>
        <w:t>/标的</w:t>
      </w:r>
      <w:r>
        <w:rPr>
          <w:rFonts w:hint="eastAsia" w:ascii="宋体" w:hAnsi="宋体" w:eastAsia="宋体" w:cs="Times New Roman"/>
          <w:color w:val="auto"/>
          <w:sz w:val="24"/>
          <w:szCs w:val="24"/>
          <w:highlight w:val="none"/>
          <w:u w:val="none"/>
          <w:lang w:val="en-US" w:eastAsia="zh-CN"/>
        </w:rPr>
        <w:t>。</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温州市龙湾区沙城街道永福村集体经济组织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351155</wp:posOffset>
            </wp:positionH>
            <wp:positionV relativeFrom="paragraph">
              <wp:posOffset>-1588770</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温州市龙湾区沙城街道永福村集体经济组织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965"/>
        <w:gridCol w:w="1305"/>
        <w:gridCol w:w="1455"/>
        <w:gridCol w:w="1335"/>
        <w:gridCol w:w="1084"/>
      </w:tblGrid>
      <w:tr w14:paraId="56478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18C875F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965" w:type="dxa"/>
            <w:tcBorders>
              <w:top w:val="single" w:color="000000" w:sz="4" w:space="0"/>
              <w:left w:val="single" w:color="000000" w:sz="4" w:space="0"/>
              <w:bottom w:val="single" w:color="000000" w:sz="4" w:space="0"/>
              <w:right w:val="single" w:color="000000" w:sz="4" w:space="0"/>
            </w:tcBorders>
            <w:noWrap w:val="0"/>
            <w:vAlign w:val="center"/>
          </w:tcPr>
          <w:p w14:paraId="3773E17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37FC503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3F9E112">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b/>
                <w:bCs/>
                <w:color w:val="auto"/>
                <w:sz w:val="24"/>
                <w:szCs w:val="24"/>
                <w:lang w:val="en-US" w:eastAsia="zh-CN"/>
              </w:rPr>
              <w:t>首</w:t>
            </w:r>
            <w:r>
              <w:rPr>
                <w:rFonts w:hint="eastAsia" w:ascii="Times New Roman" w:hAnsi="Times New Roman"/>
                <w:b/>
                <w:bCs/>
                <w:color w:val="auto"/>
                <w:sz w:val="24"/>
                <w:szCs w:val="24"/>
                <w:lang w:val="en-US" w:eastAsia="zh-CN"/>
              </w:rPr>
              <w:t>年租金</w:t>
            </w:r>
          </w:p>
          <w:p w14:paraId="1708F35E">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1084" w:type="dxa"/>
            <w:tcBorders>
              <w:top w:val="single" w:color="000000" w:sz="4" w:space="0"/>
              <w:left w:val="nil"/>
              <w:bottom w:val="single" w:color="000000" w:sz="4" w:space="0"/>
              <w:right w:val="single" w:color="auto" w:sz="4" w:space="0"/>
            </w:tcBorders>
            <w:noWrap w:val="0"/>
            <w:vAlign w:val="center"/>
          </w:tcPr>
          <w:p w14:paraId="7923BB34">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14:paraId="5B60E8D8">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14:paraId="658E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4C754D48">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965" w:type="dxa"/>
            <w:vMerge w:val="restart"/>
            <w:tcBorders>
              <w:top w:val="single" w:color="000000" w:sz="4" w:space="0"/>
              <w:left w:val="single" w:color="000000" w:sz="4" w:space="0"/>
              <w:right w:val="single" w:color="000000" w:sz="4" w:space="0"/>
            </w:tcBorders>
            <w:noWrap w:val="0"/>
            <w:vAlign w:val="center"/>
          </w:tcPr>
          <w:p w14:paraId="6EF4BECE">
            <w:pPr>
              <w:keepNext w:val="0"/>
              <w:keepLines w:val="0"/>
              <w:widowControl/>
              <w:suppressLineNumbers w:val="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温州市龙湾区沙城街道永福村村委大楼（永福大楼）一层北侧及二层北侧房产五年租赁权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D7E2D9A">
            <w:pPr>
              <w:spacing w:line="300" w:lineRule="exact"/>
              <w:jc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一层北侧    </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599A8D">
            <w:pPr>
              <w:spacing w:line="300" w:lineRule="exact"/>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约232㎡</w:t>
            </w:r>
          </w:p>
        </w:tc>
        <w:tc>
          <w:tcPr>
            <w:tcW w:w="1335" w:type="dxa"/>
            <w:vMerge w:val="restart"/>
            <w:tcBorders>
              <w:top w:val="single" w:color="000000" w:sz="4" w:space="0"/>
              <w:left w:val="single" w:color="000000" w:sz="4" w:space="0"/>
              <w:right w:val="single" w:color="000000" w:sz="4" w:space="0"/>
            </w:tcBorders>
            <w:noWrap w:val="0"/>
            <w:vAlign w:val="center"/>
          </w:tcPr>
          <w:p w14:paraId="1955434D">
            <w:pPr>
              <w:keepNext w:val="0"/>
              <w:keepLines w:val="0"/>
              <w:widowControl/>
              <w:suppressLineNumbers w:val="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88332元</w:t>
            </w:r>
          </w:p>
        </w:tc>
        <w:tc>
          <w:tcPr>
            <w:tcW w:w="1084" w:type="dxa"/>
            <w:vMerge w:val="restart"/>
            <w:tcBorders>
              <w:top w:val="single" w:color="000000" w:sz="4" w:space="0"/>
              <w:left w:val="nil"/>
              <w:right w:val="single" w:color="auto" w:sz="4" w:space="0"/>
            </w:tcBorders>
            <w:noWrap w:val="0"/>
            <w:vAlign w:val="center"/>
          </w:tcPr>
          <w:p w14:paraId="23238EFB">
            <w:pPr>
              <w:spacing w:line="300" w:lineRule="exact"/>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8万元     </w:t>
            </w:r>
          </w:p>
        </w:tc>
      </w:tr>
      <w:tr w14:paraId="3CD68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14:paraId="2D4EC629">
            <w:pPr>
              <w:keepNext w:val="0"/>
              <w:keepLines w:val="0"/>
              <w:suppressLineNumbers w:val="0"/>
              <w:spacing w:before="0" w:beforeAutospacing="0" w:after="0" w:afterAutospacing="0" w:line="300" w:lineRule="exact"/>
              <w:ind w:left="0" w:right="0"/>
              <w:jc w:val="center"/>
              <w:rPr>
                <w:rFonts w:hint="default"/>
                <w:szCs w:val="20"/>
              </w:rPr>
            </w:pPr>
          </w:p>
        </w:tc>
        <w:tc>
          <w:tcPr>
            <w:tcW w:w="3965" w:type="dxa"/>
            <w:vMerge w:val="continue"/>
            <w:tcBorders>
              <w:left w:val="single" w:color="000000" w:sz="4" w:space="0"/>
              <w:right w:val="single" w:color="000000" w:sz="4" w:space="0"/>
            </w:tcBorders>
            <w:noWrap w:val="0"/>
            <w:vAlign w:val="center"/>
          </w:tcPr>
          <w:p w14:paraId="3BAF540B">
            <w:pPr>
              <w:spacing w:line="300" w:lineRule="exact"/>
              <w:jc w:val="center"/>
              <w:rPr>
                <w:rFonts w:hint="default"/>
                <w:szCs w:val="20"/>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3B5938F">
            <w:pPr>
              <w:spacing w:line="300" w:lineRule="exact"/>
              <w:jc w:val="center"/>
              <w:rPr>
                <w:rFonts w:hint="default"/>
                <w:szCs w:val="20"/>
              </w:rPr>
            </w:pPr>
            <w:r>
              <w:rPr>
                <w:rFonts w:hint="eastAsia" w:ascii="宋体" w:hAnsi="宋体" w:eastAsia="宋体" w:cs="宋体"/>
                <w:sz w:val="24"/>
                <w:szCs w:val="24"/>
                <w:lang w:val="en-US" w:eastAsia="zh-CN"/>
              </w:rPr>
              <w:t>二层北侧</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A157CDE">
            <w:pPr>
              <w:spacing w:line="300" w:lineRule="exact"/>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225㎡</w:t>
            </w:r>
          </w:p>
        </w:tc>
        <w:tc>
          <w:tcPr>
            <w:tcW w:w="1335" w:type="dxa"/>
            <w:vMerge w:val="continue"/>
            <w:tcBorders>
              <w:left w:val="single" w:color="000000" w:sz="4" w:space="0"/>
              <w:right w:val="single" w:color="000000" w:sz="4" w:space="0"/>
            </w:tcBorders>
            <w:noWrap w:val="0"/>
            <w:vAlign w:val="center"/>
          </w:tcPr>
          <w:p w14:paraId="4154118F">
            <w:pPr>
              <w:spacing w:line="300" w:lineRule="exact"/>
              <w:jc w:val="center"/>
              <w:rPr>
                <w:rFonts w:hint="default"/>
                <w:szCs w:val="20"/>
              </w:rPr>
            </w:pPr>
          </w:p>
        </w:tc>
        <w:tc>
          <w:tcPr>
            <w:tcW w:w="1084" w:type="dxa"/>
            <w:vMerge w:val="continue"/>
            <w:tcBorders>
              <w:left w:val="nil"/>
              <w:right w:val="single" w:color="auto" w:sz="4" w:space="0"/>
            </w:tcBorders>
            <w:noWrap w:val="0"/>
            <w:vAlign w:val="center"/>
          </w:tcPr>
          <w:p w14:paraId="60AA0754">
            <w:pPr>
              <w:spacing w:line="300" w:lineRule="exact"/>
              <w:jc w:val="center"/>
              <w:rPr>
                <w:rFonts w:hint="default"/>
                <w:szCs w:val="20"/>
              </w:rPr>
            </w:pPr>
          </w:p>
        </w:tc>
      </w:tr>
      <w:tr w14:paraId="6519E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bottom w:val="single" w:color="000000" w:sz="4" w:space="0"/>
              <w:right w:val="single" w:color="000000" w:sz="4" w:space="0"/>
            </w:tcBorders>
            <w:noWrap w:val="0"/>
            <w:vAlign w:val="center"/>
          </w:tcPr>
          <w:p w14:paraId="34CEDD5C">
            <w:pPr>
              <w:keepNext w:val="0"/>
              <w:keepLines w:val="0"/>
              <w:suppressLineNumbers w:val="0"/>
              <w:spacing w:before="0" w:beforeAutospacing="0" w:after="0" w:afterAutospacing="0" w:line="300" w:lineRule="exact"/>
              <w:ind w:left="0" w:right="0"/>
              <w:jc w:val="center"/>
              <w:rPr>
                <w:rFonts w:hint="default"/>
                <w:szCs w:val="20"/>
              </w:rPr>
            </w:pPr>
          </w:p>
        </w:tc>
        <w:tc>
          <w:tcPr>
            <w:tcW w:w="3965" w:type="dxa"/>
            <w:vMerge w:val="continue"/>
            <w:tcBorders>
              <w:left w:val="single" w:color="000000" w:sz="4" w:space="0"/>
              <w:bottom w:val="single" w:color="000000" w:sz="4" w:space="0"/>
              <w:right w:val="single" w:color="000000" w:sz="4" w:space="0"/>
            </w:tcBorders>
            <w:noWrap w:val="0"/>
            <w:vAlign w:val="center"/>
          </w:tcPr>
          <w:p w14:paraId="4FA1C469">
            <w:pPr>
              <w:spacing w:line="300" w:lineRule="exact"/>
              <w:jc w:val="center"/>
              <w:rPr>
                <w:rFonts w:hint="default"/>
                <w:szCs w:val="20"/>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BB30383">
            <w:pPr>
              <w:spacing w:line="300" w:lineRule="exact"/>
              <w:jc w:val="center"/>
              <w:rPr>
                <w:rFonts w:hint="default"/>
                <w:szCs w:val="20"/>
              </w:rPr>
            </w:pPr>
            <w:r>
              <w:rPr>
                <w:rFonts w:hint="eastAsia" w:ascii="宋体" w:hAnsi="宋体" w:eastAsia="宋体" w:cs="宋体"/>
                <w:sz w:val="24"/>
                <w:szCs w:val="24"/>
                <w:lang w:val="en-US" w:eastAsia="zh-CN"/>
              </w:rPr>
              <w:t>合计</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5B82E74">
            <w:pPr>
              <w:spacing w:line="300" w:lineRule="exact"/>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457㎡</w:t>
            </w:r>
          </w:p>
        </w:tc>
        <w:tc>
          <w:tcPr>
            <w:tcW w:w="1335" w:type="dxa"/>
            <w:vMerge w:val="continue"/>
            <w:tcBorders>
              <w:left w:val="single" w:color="000000" w:sz="4" w:space="0"/>
              <w:bottom w:val="single" w:color="000000" w:sz="4" w:space="0"/>
              <w:right w:val="single" w:color="000000" w:sz="4" w:space="0"/>
            </w:tcBorders>
            <w:noWrap w:val="0"/>
            <w:vAlign w:val="center"/>
          </w:tcPr>
          <w:p w14:paraId="3ACC2415">
            <w:pPr>
              <w:spacing w:line="300" w:lineRule="exact"/>
              <w:jc w:val="center"/>
              <w:rPr>
                <w:rFonts w:hint="default"/>
                <w:szCs w:val="20"/>
              </w:rPr>
            </w:pPr>
          </w:p>
        </w:tc>
        <w:tc>
          <w:tcPr>
            <w:tcW w:w="1084" w:type="dxa"/>
            <w:vMerge w:val="continue"/>
            <w:tcBorders>
              <w:left w:val="nil"/>
              <w:bottom w:val="single" w:color="000000" w:sz="4" w:space="0"/>
              <w:right w:val="single" w:color="auto" w:sz="4" w:space="0"/>
            </w:tcBorders>
            <w:noWrap w:val="0"/>
            <w:vAlign w:val="center"/>
          </w:tcPr>
          <w:p w14:paraId="595D6F6E">
            <w:pPr>
              <w:spacing w:line="300" w:lineRule="exact"/>
              <w:jc w:val="center"/>
              <w:rPr>
                <w:rFonts w:hint="default"/>
                <w:szCs w:val="20"/>
              </w:rPr>
            </w:pPr>
          </w:p>
        </w:tc>
      </w:tr>
      <w:tr w14:paraId="342D5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2B43CB0A">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kern w:val="2"/>
                <w:sz w:val="24"/>
                <w:szCs w:val="24"/>
                <w:highlight w:val="none"/>
                <w:lang w:val="en-US" w:eastAsia="zh-CN" w:bidi="ar"/>
              </w:rPr>
            </w:pPr>
            <w:r>
              <w:rPr>
                <w:rFonts w:hint="eastAsia" w:ascii="宋体" w:hAnsi="宋体" w:cs="宋体"/>
                <w:b/>
                <w:bCs w:val="0"/>
                <w:kern w:val="2"/>
                <w:sz w:val="24"/>
                <w:szCs w:val="24"/>
                <w:highlight w:val="none"/>
                <w:lang w:val="en-US" w:eastAsia="zh-CN" w:bidi="ar"/>
              </w:rPr>
              <w:t>2</w:t>
            </w:r>
          </w:p>
        </w:tc>
        <w:tc>
          <w:tcPr>
            <w:tcW w:w="3965" w:type="dxa"/>
            <w:tcBorders>
              <w:top w:val="single" w:color="000000" w:sz="4" w:space="0"/>
              <w:left w:val="single" w:color="000000" w:sz="4" w:space="0"/>
              <w:bottom w:val="single" w:color="000000" w:sz="4" w:space="0"/>
              <w:right w:val="single" w:color="000000" w:sz="4" w:space="0"/>
            </w:tcBorders>
            <w:noWrap w:val="0"/>
            <w:vAlign w:val="center"/>
          </w:tcPr>
          <w:p w14:paraId="0370BC03">
            <w:pPr>
              <w:keepNext w:val="0"/>
              <w:keepLines w:val="0"/>
              <w:widowControl/>
              <w:suppressLineNumbers w:val="0"/>
              <w:jc w:val="center"/>
              <w:textAlignment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温州市龙湾区沙城街道永福村村委大楼（永福大楼）一层南侧房产五年租赁权</w:t>
            </w: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0F9B4853">
            <w:pPr>
              <w:spacing w:line="300" w:lineRule="exact"/>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Cs/>
                <w:kern w:val="2"/>
                <w:sz w:val="24"/>
                <w:szCs w:val="24"/>
                <w:highlight w:val="none"/>
                <w:u w:val="none"/>
                <w:lang w:val="en-US" w:eastAsia="zh-CN" w:bidi="ar-SA"/>
              </w:rPr>
              <w:t>约184㎡</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7AAEF43">
            <w:pPr>
              <w:keepNext w:val="0"/>
              <w:keepLines w:val="0"/>
              <w:widowControl/>
              <w:suppressLineNumbers w:val="0"/>
              <w:jc w:val="center"/>
              <w:textAlignment w:val="center"/>
              <w:rPr>
                <w:rFonts w:hint="eastAsia" w:ascii="Times New Roman" w:hAnsi="Times New Roman"/>
                <w:b/>
                <w:bCs/>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55200元</w:t>
            </w:r>
          </w:p>
        </w:tc>
        <w:tc>
          <w:tcPr>
            <w:tcW w:w="1084" w:type="dxa"/>
            <w:tcBorders>
              <w:top w:val="single" w:color="000000" w:sz="4" w:space="0"/>
              <w:left w:val="nil"/>
              <w:bottom w:val="single" w:color="000000" w:sz="4" w:space="0"/>
              <w:right w:val="single" w:color="auto" w:sz="4" w:space="0"/>
            </w:tcBorders>
            <w:noWrap w:val="0"/>
            <w:vAlign w:val="center"/>
          </w:tcPr>
          <w:p w14:paraId="5818C8DE">
            <w:pPr>
              <w:spacing w:line="300" w:lineRule="exact"/>
              <w:jc w:val="center"/>
              <w:rPr>
                <w:rFonts w:hint="eastAsia" w:ascii="Times New Roman" w:hAnsi="Times New Roman"/>
                <w:b/>
                <w:bCs/>
                <w:sz w:val="24"/>
                <w:szCs w:val="24"/>
                <w:lang w:val="en-US" w:eastAsia="zh-CN"/>
              </w:rPr>
            </w:pPr>
            <w:r>
              <w:rPr>
                <w:rFonts w:hint="eastAsia" w:ascii="宋体" w:hAnsi="宋体" w:eastAsia="宋体" w:cs="宋体"/>
                <w:bCs/>
                <w:kern w:val="2"/>
                <w:sz w:val="24"/>
                <w:szCs w:val="24"/>
                <w:highlight w:val="none"/>
                <w:u w:val="none"/>
                <w:lang w:val="en-US" w:eastAsia="zh-CN" w:bidi="ar-SA"/>
              </w:rPr>
              <w:t>5万元</w:t>
            </w:r>
          </w:p>
        </w:tc>
      </w:tr>
      <w:tr w14:paraId="6F639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3" w:hRule="atLeast"/>
          <w:jc w:val="center"/>
        </w:trPr>
        <w:tc>
          <w:tcPr>
            <w:tcW w:w="9903" w:type="dxa"/>
            <w:gridSpan w:val="6"/>
            <w:tcBorders>
              <w:top w:val="single" w:color="000000" w:sz="4" w:space="0"/>
              <w:left w:val="single" w:color="auto" w:sz="4" w:space="0"/>
              <w:bottom w:val="single" w:color="000000" w:sz="4" w:space="0"/>
              <w:right w:val="single" w:color="auto" w:sz="4" w:space="0"/>
            </w:tcBorders>
            <w:noWrap w:val="0"/>
            <w:vAlign w:val="center"/>
          </w:tcPr>
          <w:p w14:paraId="21D54538">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kern w:val="0"/>
                <w:sz w:val="24"/>
                <w:szCs w:val="24"/>
                <w:lang w:val="en-US" w:eastAsia="zh-CN" w:bidi="ar"/>
              </w:rPr>
              <w:t>租期5年，租金（不含税）一年一付，先付后用，第1-3年租金为竞价成交价，第4-5年租金在第3年租金基础上递增3%</w:t>
            </w:r>
            <w:r>
              <w:rPr>
                <w:rFonts w:hint="eastAsia" w:ascii="宋体" w:hAnsi="宋体" w:eastAsia="宋体" w:cs="宋体"/>
                <w:kern w:val="0"/>
                <w:sz w:val="24"/>
                <w:szCs w:val="24"/>
                <w:lang w:val="en-US" w:eastAsia="zh-CN" w:bidi="ar"/>
              </w:rPr>
              <w:t>。</w:t>
            </w:r>
          </w:p>
          <w:p w14:paraId="271DA0A2">
            <w:pPr>
              <w:pStyle w:val="2"/>
              <w:keepNext w:val="0"/>
              <w:keepLines w:val="0"/>
              <w:numPr>
                <w:ilvl w:val="0"/>
                <w:numId w:val="0"/>
              </w:numPr>
              <w:suppressLineNumbers w:val="0"/>
              <w:spacing w:beforeAutospacing="0" w:after="0" w:afterAutospacing="0"/>
              <w:ind w:right="0" w:rightChars="0" w:firstLine="480" w:firstLineChars="200"/>
              <w:rPr>
                <w:rFonts w:hint="eastAsia" w:cs="宋体"/>
                <w:kern w:val="0"/>
                <w:sz w:val="24"/>
                <w:szCs w:val="24"/>
                <w:lang w:val="en-US" w:eastAsia="zh-CN" w:bidi="ar"/>
              </w:rPr>
            </w:pPr>
            <w:r>
              <w:rPr>
                <w:rFonts w:hint="eastAsia" w:ascii="宋体" w:hAnsi="宋体" w:eastAsia="宋体" w:cs="宋体"/>
                <w:kern w:val="0"/>
                <w:sz w:val="24"/>
                <w:szCs w:val="24"/>
                <w:lang w:val="en-US" w:eastAsia="zh-CN" w:bidi="ar"/>
              </w:rPr>
              <w:t>2.装修期1个月，不计租金及租期</w:t>
            </w:r>
            <w:r>
              <w:rPr>
                <w:rFonts w:hint="eastAsia" w:cs="宋体"/>
                <w:kern w:val="0"/>
                <w:sz w:val="24"/>
                <w:szCs w:val="24"/>
                <w:lang w:val="en-US" w:eastAsia="zh-CN" w:bidi="ar"/>
              </w:rPr>
              <w:t>。</w:t>
            </w:r>
          </w:p>
          <w:p w14:paraId="753400D9">
            <w:pPr>
              <w:pStyle w:val="2"/>
              <w:keepNext w:val="0"/>
              <w:keepLines w:val="0"/>
              <w:numPr>
                <w:ilvl w:val="0"/>
                <w:numId w:val="0"/>
              </w:numPr>
              <w:suppressLineNumbers w:val="0"/>
              <w:spacing w:beforeAutospacing="0" w:after="0" w:afterAutospacing="0"/>
              <w:ind w:right="0" w:rightChars="0" w:firstLine="480" w:firstLineChars="200"/>
              <w:rPr>
                <w:rFonts w:hint="default" w:cs="宋体"/>
                <w:kern w:val="0"/>
                <w:sz w:val="24"/>
                <w:szCs w:val="24"/>
                <w:lang w:val="en-US" w:eastAsia="zh-CN" w:bidi="ar"/>
              </w:rPr>
            </w:pPr>
            <w:r>
              <w:rPr>
                <w:rFonts w:hint="eastAsia" w:cs="宋体"/>
                <w:kern w:val="0"/>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-4387215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-4287520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-895985</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b w:val="0"/>
          <w:bCs/>
          <w:color w:val="auto"/>
          <w:kern w:val="0"/>
          <w:sz w:val="24"/>
          <w:szCs w:val="21"/>
          <w:lang w:val="en-US" w:eastAsia="zh-CN" w:bidi="ar"/>
        </w:rPr>
        <w:t>。若因委托人撤回标的或不可抗力或客观必要的原因，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D3BCC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174629B">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77470</wp:posOffset>
                </wp:positionH>
                <wp:positionV relativeFrom="paragraph">
                  <wp:posOffset>219710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6.1pt;margin-top:17.3pt;height:78.3pt;width:461.4pt;z-index:251669504;mso-width-relative:page;mso-height-relative:page;" fillcolor="#FFFFFF" filled="t" stroked="t" coordsize="21600,21600" o:gfxdata="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ibO90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租期5年，租金（不含税）一年一付，先付后用，第1-3年租金为竞价成交价，第4-5年租金在第3年租金基础上递增3%</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具体租赁事项以竞得人与温州市龙湾区沙城街道永福村集体经济组织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138BB085">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温州市龙湾区沙城街道永福村集体经济组织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spacing w:line="380" w:lineRule="exact"/>
        <w:ind w:left="388" w:leftChars="185" w:firstLine="240" w:firstLineChars="100"/>
        <w:jc w:val="left"/>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18D1E79B">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1 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-2486660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rPr>
        <w:t>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560A03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97D9ED1">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620B28E">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4.第四年年租金￥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1B6357B">
      <w:pPr>
        <w:pStyle w:val="3"/>
        <w:spacing w:line="380" w:lineRule="exact"/>
        <w:ind w:left="0" w:leftChars="0" w:firstLine="480" w:firstLineChars="200"/>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cs="宋体"/>
          <w:color w:val="auto"/>
          <w:szCs w:val="24"/>
          <w:highlight w:val="none"/>
          <w:u w:val="single"/>
          <w:lang w:val="en-US" w:eastAsia="zh-CN"/>
        </w:rPr>
        <w:t>租期5年，租金（不含税）一年一付，先付后用，第1-3年租金为竞价成交价，第4-5年租金在第3年租金基础上递增3%，下期租金应在上期租赁期限届满前1个月付清。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w:t>
      </w: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-1223010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4320" w:firstLineChars="1800"/>
        <w:rPr>
          <w:rFonts w:hint="eastAsia" w:ascii="宋体" w:hAnsi="宋体" w:cs="宋体"/>
          <w:sz w:val="24"/>
          <w:szCs w:val="24"/>
        </w:rPr>
      </w:pP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F634BA7">
      <w:pPr>
        <w:spacing w:line="380" w:lineRule="exact"/>
        <w:ind w:right="480"/>
        <w:rPr>
          <w:rFonts w:hint="eastAsia" w:ascii="宋体" w:hAnsi="宋体" w:cs="宋体"/>
          <w:sz w:val="24"/>
          <w:szCs w:val="24"/>
        </w:rPr>
      </w:pPr>
    </w:p>
    <w:p w14:paraId="35F365BE">
      <w:pPr>
        <w:tabs>
          <w:tab w:val="left" w:pos="0"/>
          <w:tab w:val="center" w:pos="4200"/>
        </w:tabs>
        <w:spacing w:line="520" w:lineRule="exact"/>
        <w:ind w:right="105" w:rightChars="50"/>
        <w:jc w:val="both"/>
        <w:rPr>
          <w:rFonts w:hint="eastAsia" w:ascii="黑体" w:hAnsi="黑体" w:eastAsia="黑体" w:cs="黑体"/>
          <w:sz w:val="36"/>
          <w:szCs w:val="36"/>
        </w:rPr>
      </w:pPr>
    </w:p>
    <w:p w14:paraId="37659C06">
      <w:pPr>
        <w:tabs>
          <w:tab w:val="left" w:pos="0"/>
          <w:tab w:val="center" w:pos="4200"/>
        </w:tabs>
        <w:spacing w:line="520" w:lineRule="exact"/>
        <w:ind w:right="105" w:rightChars="50"/>
        <w:jc w:val="center"/>
        <w:rPr>
          <w:rFonts w:hint="eastAsia" w:ascii="黑体" w:hAnsi="黑体" w:eastAsia="黑体" w:cs="黑体"/>
          <w:sz w:val="36"/>
          <w:szCs w:val="36"/>
        </w:rPr>
      </w:pPr>
    </w:p>
    <w:p w14:paraId="3ECADD1B">
      <w:pPr>
        <w:pStyle w:val="8"/>
        <w:rPr>
          <w:rFonts w:hint="eastAsia"/>
        </w:rPr>
      </w:pPr>
    </w:p>
    <w:p w14:paraId="26351700">
      <w:pPr>
        <w:rPr>
          <w:rFonts w:hint="eastAsia"/>
        </w:rPr>
      </w:pPr>
    </w:p>
    <w:p w14:paraId="2B540742">
      <w:pPr>
        <w:pStyle w:val="8"/>
        <w:rPr>
          <w:rFonts w:hint="eastAsia"/>
        </w:rPr>
      </w:pPr>
    </w:p>
    <w:p w14:paraId="3D806041">
      <w:pPr>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3B21A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20AFD"/>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6F05D79"/>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407CC"/>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F44DD8"/>
    <w:rsid w:val="1B134C01"/>
    <w:rsid w:val="1B21373F"/>
    <w:rsid w:val="1B2D2FAD"/>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5018EE"/>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5E00AC"/>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8F762A"/>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806D6"/>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3601B"/>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1629D"/>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D16B66"/>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006A2"/>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20779"/>
    <w:rsid w:val="5B9A3207"/>
    <w:rsid w:val="5B9B4998"/>
    <w:rsid w:val="5BA74225"/>
    <w:rsid w:val="5BE2525D"/>
    <w:rsid w:val="5BEC60DC"/>
    <w:rsid w:val="5BEE3B6D"/>
    <w:rsid w:val="5BF33CD3"/>
    <w:rsid w:val="5C074A7D"/>
    <w:rsid w:val="5C2147C5"/>
    <w:rsid w:val="5C231706"/>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3D46AD"/>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C8198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06BAB"/>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A64ABB"/>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47019F"/>
    <w:rsid w:val="6C5D623A"/>
    <w:rsid w:val="6C7C7008"/>
    <w:rsid w:val="6C8669DD"/>
    <w:rsid w:val="6C8A5391"/>
    <w:rsid w:val="6CA1081C"/>
    <w:rsid w:val="6CA449E5"/>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BD6F93"/>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3142B"/>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861229"/>
    <w:rsid w:val="7A9D6AC7"/>
    <w:rsid w:val="7ABD2CC5"/>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64D80"/>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11786</Words>
  <Characters>12081</Characters>
  <Lines>74</Lines>
  <Paragraphs>20</Paragraphs>
  <TotalTime>3</TotalTime>
  <ScaleCrop>false</ScaleCrop>
  <LinksUpToDate>false</LinksUpToDate>
  <CharactersWithSpaces>13588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2026-10-15T03:15:19Z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