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C65429C">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温州市龙湾区永中街道博汇园15幢104室一至二层及15幢</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105室一至二层三年租赁权竞价文件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2026年10月20日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温州市龙湾区永中街道博汇园15幢104室一至二层及15幢105室一至二层三年租赁权竞价公告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2026年10月27日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2026年10月28日上午10时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温州市龙湾区永中街道博汇园15幢104室一至二层及15幢105室一至二层三年租赁权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070"/>
        <w:gridCol w:w="2085"/>
        <w:gridCol w:w="1650"/>
        <w:gridCol w:w="1275"/>
        <w:gridCol w:w="1005"/>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3735" w:type="dxa"/>
            <w:gridSpan w:val="2"/>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05"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restart"/>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070" w:type="dxa"/>
            <w:vMerge w:val="restart"/>
            <w:tcBorders>
              <w:top w:val="single" w:color="000000" w:sz="4" w:space="0"/>
              <w:left w:val="single" w:color="000000" w:sz="4" w:space="0"/>
              <w:right w:val="single" w:color="000000" w:sz="4" w:space="0"/>
            </w:tcBorders>
            <w:noWrap w:val="0"/>
            <w:vAlign w:val="center"/>
          </w:tcPr>
          <w:p w14:paraId="5C1D9D59">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温州市龙湾区永中街道博汇园15幢104室一至二层及15幢105室一至二层三年租赁权     </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679896B7">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15幢104室一层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3879F596">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约51.71㎡ </w:t>
            </w:r>
          </w:p>
        </w:tc>
        <w:tc>
          <w:tcPr>
            <w:tcW w:w="1275" w:type="dxa"/>
            <w:vMerge w:val="restart"/>
            <w:tcBorders>
              <w:top w:val="single" w:color="000000" w:sz="4" w:space="0"/>
              <w:left w:val="single" w:color="000000" w:sz="4" w:space="0"/>
              <w:right w:val="single" w:color="000000" w:sz="4" w:space="0"/>
            </w:tcBorders>
            <w:noWrap w:val="0"/>
            <w:vAlign w:val="center"/>
          </w:tcPr>
          <w:p w14:paraId="1C9584FA">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color w:val="auto"/>
                <w:kern w:val="2"/>
                <w:sz w:val="24"/>
                <w:szCs w:val="24"/>
                <w:highlight w:val="none"/>
                <w:u w:val="none"/>
                <w:lang w:val="en-US" w:eastAsia="zh-CN" w:bidi="ar-SA"/>
              </w:rPr>
              <w:t>167020</w:t>
            </w:r>
            <w:r>
              <w:rPr>
                <w:rFonts w:hint="eastAsia" w:ascii="宋体" w:hAnsi="宋体" w:eastAsia="宋体" w:cs="宋体"/>
                <w:bCs/>
                <w:color w:val="auto"/>
                <w:kern w:val="2"/>
                <w:sz w:val="24"/>
                <w:szCs w:val="24"/>
                <w:highlight w:val="none"/>
                <w:u w:val="none"/>
                <w:lang w:val="en-US" w:eastAsia="zh-CN" w:bidi="ar-SA"/>
              </w:rPr>
              <w:t xml:space="preserve">元      </w:t>
            </w:r>
          </w:p>
        </w:tc>
        <w:tc>
          <w:tcPr>
            <w:tcW w:w="1005" w:type="dxa"/>
            <w:vMerge w:val="restart"/>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15万</w:t>
            </w:r>
            <w:r>
              <w:rPr>
                <w:rFonts w:hint="eastAsia" w:ascii="宋体" w:hAnsi="宋体" w:eastAsia="宋体" w:cs="宋体"/>
                <w:bCs/>
                <w:kern w:val="2"/>
                <w:sz w:val="24"/>
                <w:szCs w:val="24"/>
                <w:highlight w:val="none"/>
                <w:u w:val="none"/>
                <w:lang w:val="en-US" w:eastAsia="zh-CN" w:bidi="ar-SA"/>
              </w:rPr>
              <w:t xml:space="preserve">元     </w:t>
            </w:r>
          </w:p>
        </w:tc>
      </w:tr>
      <w:tr w14:paraId="5553F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6319E56B">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01D590F9">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2CBF10B9">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15幢104室二层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2012769C">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约199.47㎡ </w:t>
            </w:r>
          </w:p>
        </w:tc>
        <w:tc>
          <w:tcPr>
            <w:tcW w:w="1275" w:type="dxa"/>
            <w:vMerge w:val="continue"/>
            <w:tcBorders>
              <w:left w:val="single" w:color="000000" w:sz="4" w:space="0"/>
              <w:right w:val="single" w:color="000000" w:sz="4" w:space="0"/>
            </w:tcBorders>
            <w:noWrap w:val="0"/>
            <w:vAlign w:val="center"/>
          </w:tcPr>
          <w:p w14:paraId="76C9F13F">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6B8B6FE4">
            <w:pPr>
              <w:keepNext w:val="0"/>
              <w:keepLines w:val="0"/>
              <w:suppressLineNumbers w:val="0"/>
              <w:spacing w:before="0" w:beforeAutospacing="0" w:after="0" w:afterAutospacing="0" w:line="300" w:lineRule="exact"/>
              <w:ind w:left="0" w:right="0"/>
              <w:jc w:val="center"/>
              <w:rPr>
                <w:rFonts w:hint="default"/>
                <w:szCs w:val="20"/>
              </w:rPr>
            </w:pPr>
          </w:p>
        </w:tc>
      </w:tr>
      <w:tr w14:paraId="28FEE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56419B0F">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2476F200">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50BD84F4">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15幢105室一层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0237498D">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约99.73㎡ </w:t>
            </w:r>
          </w:p>
        </w:tc>
        <w:tc>
          <w:tcPr>
            <w:tcW w:w="1275" w:type="dxa"/>
            <w:vMerge w:val="continue"/>
            <w:tcBorders>
              <w:left w:val="single" w:color="000000" w:sz="4" w:space="0"/>
              <w:right w:val="single" w:color="000000" w:sz="4" w:space="0"/>
            </w:tcBorders>
            <w:noWrap w:val="0"/>
            <w:vAlign w:val="center"/>
          </w:tcPr>
          <w:p w14:paraId="7192F1A3">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6DA44E2D">
            <w:pPr>
              <w:keepNext w:val="0"/>
              <w:keepLines w:val="0"/>
              <w:suppressLineNumbers w:val="0"/>
              <w:spacing w:before="0" w:beforeAutospacing="0" w:after="0" w:afterAutospacing="0" w:line="300" w:lineRule="exact"/>
              <w:ind w:left="0" w:right="0"/>
              <w:jc w:val="center"/>
              <w:rPr>
                <w:rFonts w:hint="default"/>
                <w:szCs w:val="20"/>
              </w:rPr>
            </w:pPr>
          </w:p>
        </w:tc>
      </w:tr>
      <w:tr w14:paraId="74B92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318F6BF8">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09E8A659">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0D8FE091">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15幢105室二层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6E4A9C5E">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约99.73㎡ </w:t>
            </w:r>
          </w:p>
        </w:tc>
        <w:tc>
          <w:tcPr>
            <w:tcW w:w="1275" w:type="dxa"/>
            <w:vMerge w:val="continue"/>
            <w:tcBorders>
              <w:left w:val="single" w:color="000000" w:sz="4" w:space="0"/>
              <w:right w:val="single" w:color="000000" w:sz="4" w:space="0"/>
            </w:tcBorders>
            <w:noWrap w:val="0"/>
            <w:vAlign w:val="center"/>
          </w:tcPr>
          <w:p w14:paraId="4FA6B92A">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4ABA426B">
            <w:pPr>
              <w:keepNext w:val="0"/>
              <w:keepLines w:val="0"/>
              <w:suppressLineNumbers w:val="0"/>
              <w:spacing w:before="0" w:beforeAutospacing="0" w:after="0" w:afterAutospacing="0" w:line="300" w:lineRule="exact"/>
              <w:ind w:left="0" w:right="0"/>
              <w:jc w:val="center"/>
              <w:rPr>
                <w:rFonts w:hint="default"/>
                <w:szCs w:val="20"/>
              </w:rPr>
            </w:pPr>
          </w:p>
        </w:tc>
      </w:tr>
      <w:tr w14:paraId="1A56B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6349626D">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2966C6FB">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75ECB64C">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sz w:val="24"/>
                <w:szCs w:val="24"/>
                <w:lang w:val="en-US" w:eastAsia="zh-CN"/>
              </w:rPr>
              <w:t>合计</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75350492">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约450.64㎡ </w:t>
            </w:r>
          </w:p>
        </w:tc>
        <w:tc>
          <w:tcPr>
            <w:tcW w:w="1275" w:type="dxa"/>
            <w:vMerge w:val="continue"/>
            <w:tcBorders>
              <w:left w:val="single" w:color="000000" w:sz="4" w:space="0"/>
              <w:right w:val="single" w:color="000000" w:sz="4" w:space="0"/>
            </w:tcBorders>
            <w:noWrap w:val="0"/>
            <w:vAlign w:val="center"/>
          </w:tcPr>
          <w:p w14:paraId="3D477682">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1B3D69B1">
            <w:pPr>
              <w:keepNext w:val="0"/>
              <w:keepLines w:val="0"/>
              <w:suppressLineNumbers w:val="0"/>
              <w:spacing w:before="0" w:beforeAutospacing="0" w:after="0" w:afterAutospacing="0" w:line="300" w:lineRule="exact"/>
              <w:ind w:left="0" w:right="0"/>
              <w:jc w:val="center"/>
              <w:rPr>
                <w:rFonts w:hint="default"/>
                <w:szCs w:val="20"/>
              </w:rPr>
            </w:pP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jc w:val="center"/>
        </w:trPr>
        <w:tc>
          <w:tcPr>
            <w:tcW w:w="9844" w:type="dxa"/>
            <w:gridSpan w:val="6"/>
            <w:tcBorders>
              <w:top w:val="single" w:color="000000" w:sz="4" w:space="0"/>
              <w:left w:val="single" w:color="auto" w:sz="4" w:space="0"/>
              <w:bottom w:val="single" w:color="000000" w:sz="4" w:space="0"/>
              <w:right w:val="single" w:color="auto" w:sz="4" w:space="0"/>
            </w:tcBorders>
            <w:noWrap w:val="0"/>
            <w:vAlign w:val="center"/>
          </w:tcPr>
          <w:p w14:paraId="27660BA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租期3年，租金（不含税）一年一付，先付后用，租赁期内租金不递增</w:t>
            </w:r>
            <w:r>
              <w:rPr>
                <w:rFonts w:hint="eastAsia" w:ascii="宋体" w:hAnsi="宋体" w:eastAsia="宋体" w:cs="宋体"/>
                <w:bCs/>
                <w:kern w:val="2"/>
                <w:sz w:val="24"/>
                <w:szCs w:val="24"/>
                <w:highlight w:val="none"/>
                <w:lang w:val="en-US" w:eastAsia="zh-CN" w:bidi="ar"/>
              </w:rPr>
              <w:t>。</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cs="宋体"/>
                <w:kern w:val="0"/>
                <w:sz w:val="24"/>
                <w:szCs w:val="24"/>
                <w:lang w:val="en-US" w:eastAsia="zh-CN" w:bidi="ar"/>
              </w:rPr>
              <w:t>装修期15天，不计租金及租期</w:t>
            </w:r>
            <w:r>
              <w:rPr>
                <w:rFonts w:hint="eastAsia" w:ascii="宋体" w:hAnsi="宋体" w:eastAsia="宋体" w:cs="宋体"/>
                <w:bCs/>
                <w:kern w:val="2"/>
                <w:sz w:val="24"/>
                <w:szCs w:val="24"/>
                <w:highlight w:val="none"/>
                <w:lang w:val="en-US" w:eastAsia="zh-CN" w:bidi="ar"/>
              </w:rPr>
              <w:t>。</w:t>
            </w:r>
          </w:p>
          <w:p w14:paraId="160B200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default" w:ascii="宋体" w:hAnsi="宋体" w:eastAsia="宋体" w:cs="宋体"/>
                <w:bCs/>
                <w:kern w:val="2"/>
                <w:sz w:val="24"/>
                <w:szCs w:val="24"/>
                <w:lang w:val="en-US" w:eastAsia="zh-CN" w:bidi="ar"/>
              </w:rPr>
              <w:t>3.经营业态：政府允许的行业（如商业），禁止高污染、高能耗、强噪音行业入驻</w:t>
            </w:r>
            <w:r>
              <w:rPr>
                <w:rFonts w:hint="eastAsia" w:ascii="宋体" w:hAnsi="宋体" w:cs="宋体"/>
                <w:bCs/>
                <w:kern w:val="2"/>
                <w:sz w:val="24"/>
                <w:szCs w:val="24"/>
                <w:lang w:val="en-US" w:eastAsia="zh-CN" w:bidi="ar"/>
              </w:rPr>
              <w:t>。</w:t>
            </w:r>
          </w:p>
          <w:p w14:paraId="273A25B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bCs/>
                <w:kern w:val="2"/>
                <w:sz w:val="24"/>
                <w:szCs w:val="24"/>
                <w:lang w:val="en-US" w:eastAsia="zh-CN" w:bidi="ar"/>
              </w:rPr>
              <w:t>4.</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王宅村博汇园</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w:t>
      </w:r>
      <w:r>
        <w:rPr>
          <w:rFonts w:hint="eastAsia" w:ascii="宋体" w:hAnsi="宋体" w:eastAsia="宋体" w:cs="Times New Roman"/>
          <w:color w:val="auto"/>
          <w:sz w:val="24"/>
          <w:szCs w:val="24"/>
          <w:highlight w:val="none"/>
          <w:u w:val="none"/>
          <w:lang w:val="en-US" w:eastAsia="zh-CN"/>
        </w:rPr>
        <w:t>年租金成交价的</w:t>
      </w:r>
      <w:r>
        <w:rPr>
          <w:rFonts w:hint="eastAsia" w:ascii="宋体" w:hAnsi="宋体" w:cs="Times New Roman"/>
          <w:color w:val="auto"/>
          <w:sz w:val="24"/>
          <w:szCs w:val="24"/>
          <w:highlight w:val="none"/>
          <w:u w:val="none"/>
          <w:lang w:val="en-US" w:eastAsia="zh-CN"/>
        </w:rPr>
        <w:t>1</w:t>
      </w:r>
      <w:r>
        <w:rPr>
          <w:rFonts w:hint="eastAsia" w:ascii="宋体" w:hAnsi="宋体" w:eastAsia="宋体" w:cs="Times New Roman"/>
          <w:color w:val="auto"/>
          <w:sz w:val="24"/>
          <w:szCs w:val="24"/>
          <w:highlight w:val="none"/>
          <w:u w:val="none"/>
          <w:lang w:val="en-US" w:eastAsia="zh-CN"/>
        </w:rPr>
        <w:t>0%（取整数）。</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26</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温州市龙湾区永中街道王宅村集体经济组织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2026年10月20日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351155</wp:posOffset>
            </wp:positionH>
            <wp:positionV relativeFrom="paragraph">
              <wp:posOffset>-2122170</wp:posOffset>
            </wp:positionV>
            <wp:extent cx="5271770" cy="5833110"/>
            <wp:effectExtent l="0" t="0" r="5080" b="15240"/>
            <wp:wrapNone/>
            <wp:docPr id="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2026年10月20日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2026年10月27日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温州市龙湾区永中街道王宅村集体经济组织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070"/>
        <w:gridCol w:w="2085"/>
        <w:gridCol w:w="1650"/>
        <w:gridCol w:w="1275"/>
        <w:gridCol w:w="1005"/>
      </w:tblGrid>
      <w:tr w14:paraId="7242C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68D9B95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14:paraId="0B9716D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3735" w:type="dxa"/>
            <w:gridSpan w:val="2"/>
            <w:tcBorders>
              <w:top w:val="single" w:color="000000" w:sz="4" w:space="0"/>
              <w:left w:val="single" w:color="000000" w:sz="4" w:space="0"/>
              <w:bottom w:val="single" w:color="000000" w:sz="4" w:space="0"/>
              <w:right w:val="single" w:color="000000" w:sz="4" w:space="0"/>
            </w:tcBorders>
            <w:noWrap w:val="0"/>
            <w:vAlign w:val="center"/>
          </w:tcPr>
          <w:p w14:paraId="3917E5E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C4F82F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35CFAC04">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05" w:type="dxa"/>
            <w:tcBorders>
              <w:top w:val="single" w:color="000000" w:sz="4" w:space="0"/>
              <w:left w:val="nil"/>
              <w:bottom w:val="single" w:color="000000" w:sz="4" w:space="0"/>
              <w:right w:val="single" w:color="auto" w:sz="4" w:space="0"/>
            </w:tcBorders>
            <w:noWrap w:val="0"/>
            <w:vAlign w:val="center"/>
          </w:tcPr>
          <w:p w14:paraId="1CE6989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73A562A3">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3EEC1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restart"/>
            <w:tcBorders>
              <w:top w:val="single" w:color="000000" w:sz="4" w:space="0"/>
              <w:left w:val="single" w:color="auto" w:sz="4" w:space="0"/>
              <w:right w:val="single" w:color="000000" w:sz="4" w:space="0"/>
            </w:tcBorders>
            <w:noWrap w:val="0"/>
            <w:vAlign w:val="center"/>
          </w:tcPr>
          <w:p w14:paraId="54076337">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070" w:type="dxa"/>
            <w:vMerge w:val="restart"/>
            <w:tcBorders>
              <w:top w:val="single" w:color="000000" w:sz="4" w:space="0"/>
              <w:left w:val="single" w:color="000000" w:sz="4" w:space="0"/>
              <w:right w:val="single" w:color="000000" w:sz="4" w:space="0"/>
            </w:tcBorders>
            <w:noWrap w:val="0"/>
            <w:vAlign w:val="center"/>
          </w:tcPr>
          <w:p w14:paraId="7F932836">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温州市龙湾区永中街道博汇园15幢104室一至二层及15幢105室一至二层三年租赁权     </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1054CC65">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15幢104室一层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0FFF40ED">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约51.71㎡ </w:t>
            </w:r>
          </w:p>
        </w:tc>
        <w:tc>
          <w:tcPr>
            <w:tcW w:w="1275" w:type="dxa"/>
            <w:vMerge w:val="restart"/>
            <w:tcBorders>
              <w:top w:val="single" w:color="000000" w:sz="4" w:space="0"/>
              <w:left w:val="single" w:color="000000" w:sz="4" w:space="0"/>
              <w:right w:val="single" w:color="000000" w:sz="4" w:space="0"/>
            </w:tcBorders>
            <w:noWrap w:val="0"/>
            <w:vAlign w:val="center"/>
          </w:tcPr>
          <w:p w14:paraId="2D27E763">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color w:val="auto"/>
                <w:kern w:val="2"/>
                <w:sz w:val="24"/>
                <w:szCs w:val="24"/>
                <w:highlight w:val="none"/>
                <w:u w:val="none"/>
                <w:lang w:val="en-US" w:eastAsia="zh-CN" w:bidi="ar-SA"/>
              </w:rPr>
              <w:t>167020</w:t>
            </w:r>
            <w:r>
              <w:rPr>
                <w:rFonts w:hint="eastAsia" w:ascii="宋体" w:hAnsi="宋体" w:eastAsia="宋体" w:cs="宋体"/>
                <w:bCs/>
                <w:color w:val="auto"/>
                <w:kern w:val="2"/>
                <w:sz w:val="24"/>
                <w:szCs w:val="24"/>
                <w:highlight w:val="none"/>
                <w:u w:val="none"/>
                <w:lang w:val="en-US" w:eastAsia="zh-CN" w:bidi="ar-SA"/>
              </w:rPr>
              <w:t xml:space="preserve">元      </w:t>
            </w:r>
          </w:p>
        </w:tc>
        <w:tc>
          <w:tcPr>
            <w:tcW w:w="1005" w:type="dxa"/>
            <w:vMerge w:val="restart"/>
            <w:tcBorders>
              <w:top w:val="single" w:color="000000" w:sz="4" w:space="0"/>
              <w:left w:val="nil"/>
              <w:right w:val="single" w:color="auto" w:sz="4" w:space="0"/>
            </w:tcBorders>
            <w:noWrap w:val="0"/>
            <w:vAlign w:val="center"/>
          </w:tcPr>
          <w:p w14:paraId="5419E1EF">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15万</w:t>
            </w:r>
            <w:r>
              <w:rPr>
                <w:rFonts w:hint="eastAsia" w:ascii="宋体" w:hAnsi="宋体" w:eastAsia="宋体" w:cs="宋体"/>
                <w:bCs/>
                <w:kern w:val="2"/>
                <w:sz w:val="24"/>
                <w:szCs w:val="24"/>
                <w:highlight w:val="none"/>
                <w:u w:val="none"/>
                <w:lang w:val="en-US" w:eastAsia="zh-CN" w:bidi="ar-SA"/>
              </w:rPr>
              <w:t xml:space="preserve">元     </w:t>
            </w:r>
          </w:p>
        </w:tc>
      </w:tr>
      <w:tr w14:paraId="3F649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28CEB6D2">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1D343A96">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540A1363">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15幢104室二层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0FB3A395">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约199.47㎡ </w:t>
            </w:r>
          </w:p>
        </w:tc>
        <w:tc>
          <w:tcPr>
            <w:tcW w:w="1275" w:type="dxa"/>
            <w:vMerge w:val="continue"/>
            <w:tcBorders>
              <w:left w:val="single" w:color="000000" w:sz="4" w:space="0"/>
              <w:right w:val="single" w:color="000000" w:sz="4" w:space="0"/>
            </w:tcBorders>
            <w:noWrap w:val="0"/>
            <w:vAlign w:val="center"/>
          </w:tcPr>
          <w:p w14:paraId="1B2B8164">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5E0E4E27">
            <w:pPr>
              <w:keepNext w:val="0"/>
              <w:keepLines w:val="0"/>
              <w:suppressLineNumbers w:val="0"/>
              <w:spacing w:before="0" w:beforeAutospacing="0" w:after="0" w:afterAutospacing="0" w:line="300" w:lineRule="exact"/>
              <w:ind w:left="0" w:right="0"/>
              <w:jc w:val="center"/>
              <w:rPr>
                <w:rFonts w:hint="default"/>
                <w:szCs w:val="20"/>
              </w:rPr>
            </w:pPr>
          </w:p>
        </w:tc>
      </w:tr>
      <w:tr w14:paraId="350C0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17E9C110">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5F216C59">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165F00A6">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15幢105室一层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55F83A0D">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约99.73㎡ </w:t>
            </w:r>
          </w:p>
        </w:tc>
        <w:tc>
          <w:tcPr>
            <w:tcW w:w="1275" w:type="dxa"/>
            <w:vMerge w:val="continue"/>
            <w:tcBorders>
              <w:left w:val="single" w:color="000000" w:sz="4" w:space="0"/>
              <w:right w:val="single" w:color="000000" w:sz="4" w:space="0"/>
            </w:tcBorders>
            <w:noWrap w:val="0"/>
            <w:vAlign w:val="center"/>
          </w:tcPr>
          <w:p w14:paraId="4435E860">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52B3DBD1">
            <w:pPr>
              <w:keepNext w:val="0"/>
              <w:keepLines w:val="0"/>
              <w:suppressLineNumbers w:val="0"/>
              <w:spacing w:before="0" w:beforeAutospacing="0" w:after="0" w:afterAutospacing="0" w:line="300" w:lineRule="exact"/>
              <w:ind w:left="0" w:right="0"/>
              <w:jc w:val="center"/>
              <w:rPr>
                <w:rFonts w:hint="default"/>
                <w:szCs w:val="20"/>
              </w:rPr>
            </w:pPr>
          </w:p>
        </w:tc>
      </w:tr>
      <w:tr w14:paraId="4A97E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34DC06F0">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25CF761C">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45C1874F">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15幢105室二层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6850E121">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约99.73㎡ </w:t>
            </w:r>
          </w:p>
        </w:tc>
        <w:tc>
          <w:tcPr>
            <w:tcW w:w="1275" w:type="dxa"/>
            <w:vMerge w:val="continue"/>
            <w:tcBorders>
              <w:left w:val="single" w:color="000000" w:sz="4" w:space="0"/>
              <w:right w:val="single" w:color="000000" w:sz="4" w:space="0"/>
            </w:tcBorders>
            <w:noWrap w:val="0"/>
            <w:vAlign w:val="center"/>
          </w:tcPr>
          <w:p w14:paraId="6EB80AE2">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4C956C6B">
            <w:pPr>
              <w:keepNext w:val="0"/>
              <w:keepLines w:val="0"/>
              <w:suppressLineNumbers w:val="0"/>
              <w:spacing w:before="0" w:beforeAutospacing="0" w:after="0" w:afterAutospacing="0" w:line="300" w:lineRule="exact"/>
              <w:ind w:left="0" w:right="0"/>
              <w:jc w:val="center"/>
              <w:rPr>
                <w:rFonts w:hint="default"/>
                <w:szCs w:val="20"/>
              </w:rPr>
            </w:pPr>
          </w:p>
        </w:tc>
      </w:tr>
      <w:tr w14:paraId="583EF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759" w:type="dxa"/>
            <w:vMerge w:val="continue"/>
            <w:tcBorders>
              <w:left w:val="single" w:color="auto" w:sz="4" w:space="0"/>
              <w:right w:val="single" w:color="000000" w:sz="4" w:space="0"/>
            </w:tcBorders>
            <w:noWrap w:val="0"/>
            <w:vAlign w:val="center"/>
          </w:tcPr>
          <w:p w14:paraId="11594238">
            <w:pPr>
              <w:keepNext w:val="0"/>
              <w:keepLines w:val="0"/>
              <w:suppressLineNumbers w:val="0"/>
              <w:spacing w:before="0" w:beforeAutospacing="0" w:after="0" w:afterAutospacing="0" w:line="300" w:lineRule="exact"/>
              <w:ind w:left="0" w:right="0"/>
              <w:jc w:val="center"/>
              <w:rPr>
                <w:rFonts w:hint="default"/>
                <w:szCs w:val="20"/>
              </w:rPr>
            </w:pPr>
          </w:p>
        </w:tc>
        <w:tc>
          <w:tcPr>
            <w:tcW w:w="3070" w:type="dxa"/>
            <w:vMerge w:val="continue"/>
            <w:tcBorders>
              <w:left w:val="single" w:color="000000" w:sz="4" w:space="0"/>
              <w:right w:val="single" w:color="000000" w:sz="4" w:space="0"/>
            </w:tcBorders>
            <w:noWrap w:val="0"/>
            <w:vAlign w:val="center"/>
          </w:tcPr>
          <w:p w14:paraId="0AE09C31">
            <w:pPr>
              <w:keepNext w:val="0"/>
              <w:keepLines w:val="0"/>
              <w:suppressLineNumbers w:val="0"/>
              <w:spacing w:before="0" w:beforeAutospacing="0" w:after="0" w:afterAutospacing="0" w:line="300" w:lineRule="exact"/>
              <w:ind w:left="0" w:right="0"/>
              <w:jc w:val="center"/>
              <w:rPr>
                <w:rFonts w:hint="default"/>
                <w:szCs w:val="20"/>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14:paraId="72AAFA9F">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sz w:val="24"/>
                <w:szCs w:val="24"/>
                <w:lang w:val="en-US" w:eastAsia="zh-CN"/>
              </w:rPr>
              <w:t>合计</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25D5C0D9">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 xml:space="preserve">约450.64㎡ </w:t>
            </w:r>
          </w:p>
        </w:tc>
        <w:tc>
          <w:tcPr>
            <w:tcW w:w="1275" w:type="dxa"/>
            <w:vMerge w:val="continue"/>
            <w:tcBorders>
              <w:left w:val="single" w:color="000000" w:sz="4" w:space="0"/>
              <w:right w:val="single" w:color="000000" w:sz="4" w:space="0"/>
            </w:tcBorders>
            <w:noWrap w:val="0"/>
            <w:vAlign w:val="center"/>
          </w:tcPr>
          <w:p w14:paraId="1AC9259B">
            <w:pPr>
              <w:keepNext w:val="0"/>
              <w:keepLines w:val="0"/>
              <w:suppressLineNumbers w:val="0"/>
              <w:spacing w:before="0" w:beforeAutospacing="0" w:after="0" w:afterAutospacing="0" w:line="300" w:lineRule="exact"/>
              <w:ind w:left="0" w:right="0"/>
              <w:jc w:val="center"/>
              <w:rPr>
                <w:rFonts w:hint="default"/>
                <w:szCs w:val="20"/>
              </w:rPr>
            </w:pPr>
          </w:p>
        </w:tc>
        <w:tc>
          <w:tcPr>
            <w:tcW w:w="1005" w:type="dxa"/>
            <w:vMerge w:val="continue"/>
            <w:tcBorders>
              <w:left w:val="nil"/>
              <w:right w:val="single" w:color="auto" w:sz="4" w:space="0"/>
            </w:tcBorders>
            <w:noWrap w:val="0"/>
            <w:vAlign w:val="center"/>
          </w:tcPr>
          <w:p w14:paraId="39959C6F">
            <w:pPr>
              <w:keepNext w:val="0"/>
              <w:keepLines w:val="0"/>
              <w:suppressLineNumbers w:val="0"/>
              <w:spacing w:before="0" w:beforeAutospacing="0" w:after="0" w:afterAutospacing="0" w:line="300" w:lineRule="exact"/>
              <w:ind w:left="0" w:right="0"/>
              <w:jc w:val="center"/>
              <w:rPr>
                <w:rFonts w:hint="default"/>
                <w:szCs w:val="20"/>
              </w:rPr>
            </w:pPr>
          </w:p>
        </w:tc>
      </w:tr>
      <w:tr w14:paraId="1257F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jc w:val="center"/>
        </w:trPr>
        <w:tc>
          <w:tcPr>
            <w:tcW w:w="9844" w:type="dxa"/>
            <w:gridSpan w:val="6"/>
            <w:tcBorders>
              <w:top w:val="single" w:color="000000" w:sz="4" w:space="0"/>
              <w:left w:val="single" w:color="auto" w:sz="4" w:space="0"/>
              <w:bottom w:val="single" w:color="000000" w:sz="4" w:space="0"/>
              <w:right w:val="single" w:color="auto" w:sz="4" w:space="0"/>
            </w:tcBorders>
            <w:noWrap w:val="0"/>
            <w:vAlign w:val="center"/>
          </w:tcPr>
          <w:p w14:paraId="65860D8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租期3年，租金（不含税）一年一付，先付后用，租赁期内租金不递增</w:t>
            </w:r>
            <w:r>
              <w:rPr>
                <w:rFonts w:hint="eastAsia" w:ascii="宋体" w:hAnsi="宋体" w:eastAsia="宋体" w:cs="宋体"/>
                <w:bCs/>
                <w:kern w:val="2"/>
                <w:sz w:val="24"/>
                <w:szCs w:val="24"/>
                <w:highlight w:val="none"/>
                <w:lang w:val="en-US" w:eastAsia="zh-CN" w:bidi="ar"/>
              </w:rPr>
              <w:t>。</w:t>
            </w:r>
          </w:p>
          <w:p w14:paraId="5F3180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cs="宋体"/>
                <w:kern w:val="0"/>
                <w:sz w:val="24"/>
                <w:szCs w:val="24"/>
                <w:lang w:val="en-US" w:eastAsia="zh-CN" w:bidi="ar"/>
              </w:rPr>
              <w:t>装修期15天，不计租金及租期</w:t>
            </w:r>
            <w:r>
              <w:rPr>
                <w:rFonts w:hint="eastAsia" w:ascii="宋体" w:hAnsi="宋体" w:eastAsia="宋体" w:cs="宋体"/>
                <w:bCs/>
                <w:kern w:val="2"/>
                <w:sz w:val="24"/>
                <w:szCs w:val="24"/>
                <w:highlight w:val="none"/>
                <w:lang w:val="en-US" w:eastAsia="zh-CN" w:bidi="ar"/>
              </w:rPr>
              <w:t>。</w:t>
            </w:r>
          </w:p>
          <w:p w14:paraId="3EE1FA9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default" w:ascii="宋体" w:hAnsi="宋体" w:eastAsia="宋体" w:cs="宋体"/>
                <w:bCs/>
                <w:kern w:val="2"/>
                <w:sz w:val="24"/>
                <w:szCs w:val="24"/>
                <w:lang w:val="en-US" w:eastAsia="zh-CN" w:bidi="ar"/>
              </w:rPr>
              <w:t>3.经营业态：政府允许的行业（如商业），禁止高污染、高能耗、强噪音行业入驻</w:t>
            </w:r>
            <w:r>
              <w:rPr>
                <w:rFonts w:hint="eastAsia" w:ascii="宋体" w:hAnsi="宋体" w:cs="宋体"/>
                <w:bCs/>
                <w:kern w:val="2"/>
                <w:sz w:val="24"/>
                <w:szCs w:val="24"/>
                <w:lang w:val="en-US" w:eastAsia="zh-CN" w:bidi="ar"/>
              </w:rPr>
              <w:t>。</w:t>
            </w:r>
          </w:p>
          <w:p w14:paraId="4B71F4F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bCs/>
                <w:kern w:val="2"/>
                <w:sz w:val="24"/>
                <w:szCs w:val="24"/>
                <w:lang w:val="en-US" w:eastAsia="zh-CN" w:bidi="ar"/>
              </w:rPr>
              <w:t>4.</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-2490470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3年租金总额，采用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6DBED151">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-4947920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248920</wp:posOffset>
                </wp:positionH>
                <wp:positionV relativeFrom="paragraph">
                  <wp:posOffset>270510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9.6pt;margin-top:21.3pt;height:78.3pt;width:461.4pt;z-index:251669504;mso-width-relative:page;mso-height-relative:page;" fillcolor="#FFFFFF" filled="t" stroked="t" coordsize="21600,21600" o:gfxdata="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wgqll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2026年10月20日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2" w:firstLineChars="196"/>
        <w:textAlignment w:val="auto"/>
        <w:rPr>
          <w:rFonts w:hint="eastAsia" w:ascii="宋体" w:hAnsi="宋体"/>
          <w:b/>
          <w:color w:val="auto"/>
          <w:sz w:val="24"/>
        </w:rPr>
      </w:pP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-3286125</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2026年10月27日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租期3年，租金（不含税）一年一付，先付后用，租赁期内租金不递增</w:t>
      </w:r>
      <w:r>
        <w:rPr>
          <w:rFonts w:hint="eastAsia" w:ascii="宋体" w:hAnsi="宋体"/>
          <w:b/>
          <w:bCs/>
          <w:color w:val="auto"/>
          <w:sz w:val="24"/>
          <w:highlight w:val="none"/>
          <w:lang w:eastAsia="zh-CN"/>
        </w:rPr>
        <w:t>。</w:t>
      </w:r>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bookmarkStart w:id="0" w:name="_GoBack"/>
      <w:bookmarkEnd w:id="0"/>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3</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具体租赁事项以竞得人与温州市龙湾区永中街道王宅村集体经济组织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28344F60">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55061247">
      <w:pPr>
        <w:spacing w:line="600" w:lineRule="exact"/>
        <w:jc w:val="center"/>
        <w:rPr>
          <w:rFonts w:hint="eastAsia" w:ascii="黑体" w:hAnsi="宋体" w:eastAsia="黑体"/>
          <w:b/>
          <w:sz w:val="48"/>
          <w:szCs w:val="48"/>
        </w:rPr>
      </w:pP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温州市龙湾区永中街道王宅村集体经济组织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3CD9160B">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15 </w:t>
      </w:r>
      <w:r>
        <w:rPr>
          <w:rFonts w:hint="eastAsia" w:ascii="宋体" w:hAnsi="宋体" w:cs="宋体"/>
          <w:color w:val="auto"/>
          <w:szCs w:val="24"/>
          <w:highlight w:val="none"/>
          <w:lang w:val="en-US" w:eastAsia="zh-CN"/>
        </w:rPr>
        <w:t>日</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none"/>
          <w:lang w:eastAsia="zh-CN"/>
        </w:rPr>
        <w:t>。</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83A8B73">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6EA0DF3">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4.</w:t>
      </w:r>
      <w:r>
        <w:rPr>
          <w:rFonts w:hint="eastAsia" w:ascii="宋体" w:hAnsi="宋体" w:cs="宋体"/>
          <w:color w:val="auto"/>
          <w:szCs w:val="24"/>
          <w:highlight w:val="none"/>
          <w:u w:val="single"/>
          <w:lang w:val="en-US" w:eastAsia="zh-CN"/>
        </w:rPr>
        <w:t>租期3年，租金（不含税）一年一付，先付后用，租赁期内租金不递增，下期租金应在上期租赁期限届满前1个月付清。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8"/>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0FC206D"/>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54F95"/>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7A5B4A"/>
    <w:rsid w:val="0A8C6210"/>
    <w:rsid w:val="0A900037"/>
    <w:rsid w:val="0AA00FEE"/>
    <w:rsid w:val="0ABD08DF"/>
    <w:rsid w:val="0B0264D2"/>
    <w:rsid w:val="0B050935"/>
    <w:rsid w:val="0B424B21"/>
    <w:rsid w:val="0B48482D"/>
    <w:rsid w:val="0B7078E0"/>
    <w:rsid w:val="0B7C44D7"/>
    <w:rsid w:val="0B8B296C"/>
    <w:rsid w:val="0B8B471A"/>
    <w:rsid w:val="0B8C17DF"/>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0C14FB"/>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3E4A1F"/>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27F24"/>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46C3A"/>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A77618"/>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7B6200"/>
    <w:rsid w:val="2C882884"/>
    <w:rsid w:val="2C901738"/>
    <w:rsid w:val="2C9F7BCD"/>
    <w:rsid w:val="2CAB0320"/>
    <w:rsid w:val="2CD51F95"/>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9E279E"/>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001A0"/>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8D2FA6"/>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11B6B1B"/>
    <w:rsid w:val="612400C6"/>
    <w:rsid w:val="614442C4"/>
    <w:rsid w:val="61504A17"/>
    <w:rsid w:val="61564EDF"/>
    <w:rsid w:val="615D7134"/>
    <w:rsid w:val="61920923"/>
    <w:rsid w:val="61B74A96"/>
    <w:rsid w:val="61C77312"/>
    <w:rsid w:val="61CE31A0"/>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27D65"/>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68355C"/>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11763</Words>
  <Characters>12117</Characters>
  <Lines>74</Lines>
  <Paragraphs>20</Paragraphs>
  <TotalTime>8</TotalTime>
  <ScaleCrop>false</ScaleCrop>
  <LinksUpToDate>false</LinksUpToDate>
  <CharactersWithSpaces>13598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2026-10-19T03:05:07Z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AEB7491D1F27473FB5D8D55CB42C62D9_13</vt:lpwstr>
  </property>
  <property fmtid="{D5CDD505-2E9C-101B-9397-08002B2CF9AE}" pid="4" name="KSOTemplateDocerSaveRecord">
    <vt:lpwstr>eyJoZGlkIjoiZWY3YzVmZWRlOTZkZTAyYmRiYmYxNjRkOTE5OWVjNGEiLCJ1c2VySWQiOiIzODY3MjAwMTYifQ==</vt:lpwstr>
  </property>
</Properties>
</file>