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0D76B984">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温州市龙湾区永中街道振中街297-299号及永康东路49-57号、振中街271号、291号、293号及295号五宗房产</w:t>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五年租赁权竞价文件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2026年10月21日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2B88B7E4">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温州市龙湾区永中街道振中街297-299号及永康东路49-57号、振中街271号、291号、293号及295号</w:t>
      </w: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五宗房产五年租赁权竞价公告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2026年10月28日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2026年10月29日上午10时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温州市龙湾区永中街道振中街297-299号及永康东路49-57号、振中街271号、291号、293号及295号五宗房产五年租赁权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27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0"/>
        <w:gridCol w:w="4233"/>
        <w:gridCol w:w="2236"/>
        <w:gridCol w:w="1589"/>
        <w:gridCol w:w="1450"/>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610CE13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首年租金</w:t>
            </w:r>
          </w:p>
          <w:p w14:paraId="749B30C4">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color w:val="000000"/>
                <w:kern w:val="2"/>
                <w:sz w:val="24"/>
                <w:szCs w:val="24"/>
                <w:highlight w:val="none"/>
                <w:lang w:val="en-US" w:eastAsia="zh-CN" w:bidi="ar"/>
              </w:rPr>
              <w:t>起始价</w:t>
            </w:r>
          </w:p>
        </w:tc>
        <w:tc>
          <w:tcPr>
            <w:tcW w:w="1382"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0"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5C1D9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kern w:val="2"/>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温州市龙湾区永中街道振中街297-299号及永康东路49-57号房产五年租赁权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5CEACFE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kern w:val="2"/>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约326.1㎡</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2445E0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kern w:val="2"/>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93917元</w:t>
            </w:r>
          </w:p>
        </w:tc>
        <w:tc>
          <w:tcPr>
            <w:tcW w:w="1382" w:type="dxa"/>
            <w:tcBorders>
              <w:top w:val="single" w:color="000000" w:sz="4" w:space="0"/>
              <w:left w:val="nil"/>
              <w:bottom w:val="single" w:color="000000" w:sz="4" w:space="0"/>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9万元       </w:t>
            </w:r>
          </w:p>
        </w:tc>
      </w:tr>
      <w:tr w14:paraId="079FA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6A9D4840">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2</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2816BA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温州市龙湾区永中街道振中街271号房产五年租赁权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6322A3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约46.2㎡</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391A73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13306元</w:t>
            </w:r>
          </w:p>
        </w:tc>
        <w:tc>
          <w:tcPr>
            <w:tcW w:w="1382" w:type="dxa"/>
            <w:tcBorders>
              <w:top w:val="single" w:color="000000" w:sz="4" w:space="0"/>
              <w:left w:val="nil"/>
              <w:bottom w:val="single" w:color="000000" w:sz="4" w:space="0"/>
              <w:right w:val="single" w:color="auto" w:sz="4" w:space="0"/>
            </w:tcBorders>
            <w:noWrap w:val="0"/>
            <w:vAlign w:val="center"/>
          </w:tcPr>
          <w:p w14:paraId="24B2FAE9">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1万元</w:t>
            </w:r>
          </w:p>
        </w:tc>
      </w:tr>
      <w:tr w14:paraId="24643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282C7CEE">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3</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6F41B001">
            <w:pPr>
              <w:keepNext w:val="0"/>
              <w:keepLines w:val="0"/>
              <w:widowControl/>
              <w:suppressLineNumbers w:val="0"/>
              <w:spacing w:before="0" w:beforeAutospacing="0" w:after="0" w:afterAutospacing="0"/>
              <w:ind w:left="0" w:right="0"/>
              <w:jc w:val="center"/>
              <w:textAlignment w:val="center"/>
              <w:rPr>
                <w:rFonts w:hint="eastAsia" w:ascii="宋体" w:hAnsi="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温州市龙湾区永中街道振中街291号房产五年租赁权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2CB119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约44.1㎡</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7D14B6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12701元</w:t>
            </w:r>
          </w:p>
        </w:tc>
        <w:tc>
          <w:tcPr>
            <w:tcW w:w="1382" w:type="dxa"/>
            <w:tcBorders>
              <w:top w:val="single" w:color="000000" w:sz="4" w:space="0"/>
              <w:left w:val="nil"/>
              <w:bottom w:val="single" w:color="000000" w:sz="4" w:space="0"/>
              <w:right w:val="single" w:color="auto" w:sz="4" w:space="0"/>
            </w:tcBorders>
            <w:noWrap w:val="0"/>
            <w:vAlign w:val="center"/>
          </w:tcPr>
          <w:p w14:paraId="32F59E80">
            <w:pPr>
              <w:keepNext w:val="0"/>
              <w:keepLines w:val="0"/>
              <w:suppressLineNumbers w:val="0"/>
              <w:spacing w:before="0" w:beforeAutospacing="0" w:after="0" w:afterAutospacing="0" w:line="300" w:lineRule="exact"/>
              <w:ind w:left="0" w:right="0"/>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1万元</w:t>
            </w:r>
          </w:p>
        </w:tc>
      </w:tr>
      <w:tr w14:paraId="2E75A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13D26E36">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4</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74EB0042">
            <w:pPr>
              <w:keepNext w:val="0"/>
              <w:keepLines w:val="0"/>
              <w:widowControl/>
              <w:suppressLineNumbers w:val="0"/>
              <w:spacing w:before="0" w:beforeAutospacing="0" w:after="0" w:afterAutospacing="0"/>
              <w:ind w:left="0" w:right="0"/>
              <w:jc w:val="center"/>
              <w:textAlignment w:val="center"/>
              <w:rPr>
                <w:rFonts w:hint="eastAsia" w:ascii="宋体" w:hAnsi="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温州市龙湾区永中街道振中街293号房产五年租赁权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5DBE13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约44.1㎡</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161F69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12701元</w:t>
            </w:r>
          </w:p>
        </w:tc>
        <w:tc>
          <w:tcPr>
            <w:tcW w:w="1382" w:type="dxa"/>
            <w:tcBorders>
              <w:top w:val="single" w:color="000000" w:sz="4" w:space="0"/>
              <w:left w:val="nil"/>
              <w:bottom w:val="single" w:color="000000" w:sz="4" w:space="0"/>
              <w:right w:val="single" w:color="auto" w:sz="4" w:space="0"/>
            </w:tcBorders>
            <w:noWrap w:val="0"/>
            <w:vAlign w:val="center"/>
          </w:tcPr>
          <w:p w14:paraId="7F1ED1E8">
            <w:pPr>
              <w:keepNext w:val="0"/>
              <w:keepLines w:val="0"/>
              <w:suppressLineNumbers w:val="0"/>
              <w:spacing w:before="0" w:beforeAutospacing="0" w:after="0" w:afterAutospacing="0" w:line="300" w:lineRule="exact"/>
              <w:ind w:left="0" w:right="0"/>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1万元</w:t>
            </w:r>
          </w:p>
        </w:tc>
      </w:tr>
      <w:tr w14:paraId="49208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5C1A7AC1">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5</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39DDB905">
            <w:pPr>
              <w:keepNext w:val="0"/>
              <w:keepLines w:val="0"/>
              <w:widowControl/>
              <w:suppressLineNumbers w:val="0"/>
              <w:spacing w:before="0" w:beforeAutospacing="0" w:after="0" w:afterAutospacing="0"/>
              <w:ind w:left="0" w:right="0"/>
              <w:jc w:val="center"/>
              <w:textAlignment w:val="center"/>
              <w:rPr>
                <w:rFonts w:hint="eastAsia" w:ascii="宋体" w:hAnsi="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温州市龙湾区永中街道振中街295号房产五年租赁权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3A46FF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约43.8㎡</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5D780B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12614元</w:t>
            </w:r>
          </w:p>
        </w:tc>
        <w:tc>
          <w:tcPr>
            <w:tcW w:w="1382" w:type="dxa"/>
            <w:tcBorders>
              <w:top w:val="single" w:color="000000" w:sz="4" w:space="0"/>
              <w:left w:val="nil"/>
              <w:bottom w:val="single" w:color="000000" w:sz="4" w:space="0"/>
              <w:right w:val="single" w:color="auto" w:sz="4" w:space="0"/>
            </w:tcBorders>
            <w:noWrap w:val="0"/>
            <w:vAlign w:val="center"/>
          </w:tcPr>
          <w:p w14:paraId="3579F631">
            <w:pPr>
              <w:keepNext w:val="0"/>
              <w:keepLines w:val="0"/>
              <w:suppressLineNumbers w:val="0"/>
              <w:spacing w:before="0" w:beforeAutospacing="0" w:after="0" w:afterAutospacing="0" w:line="300" w:lineRule="exact"/>
              <w:ind w:left="0" w:right="0"/>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1万元</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5" w:hRule="atLeast"/>
          <w:jc w:val="center"/>
        </w:trPr>
        <w:tc>
          <w:tcPr>
            <w:tcW w:w="9771" w:type="dxa"/>
            <w:gridSpan w:val="5"/>
            <w:tcBorders>
              <w:top w:val="single" w:color="000000" w:sz="4" w:space="0"/>
              <w:left w:val="single" w:color="auto" w:sz="4" w:space="0"/>
              <w:bottom w:val="single" w:color="000000" w:sz="4" w:space="0"/>
              <w:right w:val="single" w:color="auto" w:sz="4" w:space="0"/>
            </w:tcBorders>
            <w:noWrap w:val="0"/>
            <w:vAlign w:val="center"/>
          </w:tcPr>
          <w:p w14:paraId="2554A82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注：1.租期5年，租金（不含税）一年一付，先付后用，第1-3年租金为竞价成交价，第4-5年租金在第3年租金的基础上递增1%。</w:t>
            </w:r>
          </w:p>
          <w:p w14:paraId="17BCBB6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bCs/>
                <w:kern w:val="2"/>
                <w:sz w:val="24"/>
                <w:szCs w:val="24"/>
                <w:highlight w:val="none"/>
                <w:lang w:val="en-US" w:eastAsia="zh-CN" w:bidi="ar"/>
              </w:rPr>
              <w:t>2.</w:t>
            </w:r>
            <w:r>
              <w:rPr>
                <w:rFonts w:hint="eastAsia" w:ascii="宋体" w:hAnsi="宋体" w:eastAsia="宋体" w:cs="宋体"/>
                <w:bCs/>
                <w:kern w:val="2"/>
                <w:sz w:val="24"/>
                <w:szCs w:val="24"/>
                <w:highlight w:val="none"/>
                <w:lang w:val="en-US" w:eastAsia="zh-CN" w:bidi="ar"/>
              </w:rPr>
              <w:t>新承租人享装修期15日，不计租金及租期（新承租人的身份由村集体认定）。</w:t>
            </w:r>
          </w:p>
        </w:tc>
      </w:tr>
    </w:tbl>
    <w:p w14:paraId="5C728D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74B7A7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个人凭本人身份证，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3"/>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镇南村</w:t>
      </w:r>
      <w:r>
        <w:rPr>
          <w:rFonts w:hint="eastAsia" w:ascii="宋体" w:hAnsi="宋体" w:eastAsia="宋体" w:cs="Times New Roman"/>
          <w:b/>
          <w:bCs/>
          <w:color w:val="auto"/>
          <w:sz w:val="24"/>
          <w:szCs w:val="24"/>
          <w:highlight w:val="none"/>
          <w:u w:val="none"/>
          <w:lang w:val="en-US" w:eastAsia="zh-CN"/>
        </w:rPr>
        <w:t>租赁项目（标的编号）</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租赁履约保证金为首年租金成交价的10%（取整数）/标的。</w:t>
      </w:r>
    </w:p>
    <w:p w14:paraId="2103A2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27</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883" w:firstLineChars="200"/>
        <w:jc w:val="left"/>
        <w:textAlignment w:val="auto"/>
        <w:rPr>
          <w:rFonts w:ascii="宋体" w:hAnsi="宋体" w:cs="宋体"/>
          <w:b w:val="0"/>
          <w:bCs w:val="0"/>
          <w:color w:val="auto"/>
          <w:kern w:val="0"/>
          <w:sz w:val="24"/>
          <w:szCs w:val="24"/>
          <w:highlight w:val="none"/>
          <w:u w:val="none"/>
        </w:rPr>
      </w:pP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247015</wp:posOffset>
            </wp:positionH>
            <wp:positionV relativeFrom="paragraph">
              <wp:posOffset>191770</wp:posOffset>
            </wp:positionV>
            <wp:extent cx="5271770" cy="5833110"/>
            <wp:effectExtent l="0" t="0" r="5080" b="15240"/>
            <wp:wrapNone/>
            <wp:docPr id="18"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3"/>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3"/>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3"/>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温州市龙湾区永中街道镇南村集体经济组织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2026年10月21日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13ABD44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束力</w:t>
      </w: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245745</wp:posOffset>
            </wp:positionH>
            <wp:positionV relativeFrom="paragraph">
              <wp:posOffset>-1931035</wp:posOffset>
            </wp:positionV>
            <wp:extent cx="5271770" cy="5833110"/>
            <wp:effectExtent l="0" t="0" r="5080" b="15240"/>
            <wp:wrapNone/>
            <wp:docPr id="2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w:t>
      </w:r>
    </w:p>
    <w:p w14:paraId="2FE1ADDB">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2026年10月21日</w:t>
      </w:r>
    </w:p>
    <w:p w14:paraId="36C32941">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75648" behindDoc="0" locked="0" layoutInCell="1" allowOverlap="1">
                <wp:simplePos x="0" y="0"/>
                <wp:positionH relativeFrom="column">
                  <wp:posOffset>47625</wp:posOffset>
                </wp:positionH>
                <wp:positionV relativeFrom="paragraph">
                  <wp:posOffset>44450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3.75pt;margin-top:3.5pt;height:78.3pt;width:461.4pt;z-index:251675648;mso-width-relative:page;mso-height-relative:page;" fillcolor="#FFFFFF" filled="t" stroked="t" coordsize="21600,21600" o:gfxdata="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eRIM9YAAAAHAQAADwAAAAAAAAABACAAAAAiAAAAZHJzL2Rvd25yZXYueG1sUEsB&#10;AhQAFAAAAAgAh07iQNLiKV0wAgAAeAQAAA4AAAAAAAAAAQAgAAAAJQEAAGRycy9lMm9Eb2MueG1s&#10;UEsFBgAAAAAGAAYAWQEAAMcFA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1E8305FE">
      <w:pPr>
        <w:spacing w:line="480" w:lineRule="exact"/>
        <w:textAlignment w:val="baseline"/>
        <w:rPr>
          <w:rFonts w:hint="eastAsia"/>
          <w:color w:val="auto"/>
          <w:sz w:val="28"/>
          <w:szCs w:val="28"/>
        </w:rPr>
      </w:pP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7D5F552F">
      <w:pPr>
        <w:spacing w:line="360" w:lineRule="auto"/>
        <w:jc w:val="center"/>
        <w:rPr>
          <w:rFonts w:hint="eastAsia"/>
          <w:b/>
          <w:color w:val="auto"/>
          <w:sz w:val="36"/>
          <w:szCs w:val="36"/>
          <w:highlight w:val="none"/>
        </w:rPr>
      </w:pP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76672"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76672;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2026年10月28日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w:t>
      </w:r>
      <w:r>
        <w:rPr>
          <w:rFonts w:hint="eastAsia"/>
          <w:color w:val="auto"/>
          <w:sz w:val="24"/>
          <w:highlight w:val="none"/>
          <w:lang w:val="en-US" w:eastAsia="zh-CN"/>
        </w:rPr>
        <w:t>26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温州市龙湾区永中街道镇南村集体经济组织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27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0"/>
        <w:gridCol w:w="4233"/>
        <w:gridCol w:w="2236"/>
        <w:gridCol w:w="1589"/>
        <w:gridCol w:w="1450"/>
      </w:tblGrid>
      <w:tr w14:paraId="1BC27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146DB8C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74C2A8A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7F71EF3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3033D7A9">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首年租金</w:t>
            </w:r>
          </w:p>
          <w:p w14:paraId="74AEE89C">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color w:val="000000"/>
                <w:kern w:val="2"/>
                <w:sz w:val="24"/>
                <w:szCs w:val="24"/>
                <w:highlight w:val="none"/>
                <w:lang w:val="en-US" w:eastAsia="zh-CN" w:bidi="ar"/>
              </w:rPr>
              <w:t>起始价</w:t>
            </w:r>
          </w:p>
        </w:tc>
        <w:tc>
          <w:tcPr>
            <w:tcW w:w="1382" w:type="dxa"/>
            <w:tcBorders>
              <w:top w:val="single" w:color="000000" w:sz="4" w:space="0"/>
              <w:left w:val="nil"/>
              <w:bottom w:val="single" w:color="000000" w:sz="4" w:space="0"/>
              <w:right w:val="single" w:color="auto" w:sz="4" w:space="0"/>
            </w:tcBorders>
            <w:noWrap w:val="0"/>
            <w:vAlign w:val="center"/>
          </w:tcPr>
          <w:p w14:paraId="56125FE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2C75ACA0">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0A51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0"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5FDBE42A">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051743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kern w:val="2"/>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温州市龙湾区永中街道振中街297-299号及永康东路49-57号房产五年租赁权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232B7B7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kern w:val="2"/>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约326.1㎡</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66ED66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kern w:val="2"/>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93917元</w:t>
            </w:r>
          </w:p>
        </w:tc>
        <w:tc>
          <w:tcPr>
            <w:tcW w:w="1382" w:type="dxa"/>
            <w:tcBorders>
              <w:top w:val="single" w:color="000000" w:sz="4" w:space="0"/>
              <w:left w:val="nil"/>
              <w:bottom w:val="single" w:color="000000" w:sz="4" w:space="0"/>
              <w:right w:val="single" w:color="auto" w:sz="4" w:space="0"/>
            </w:tcBorders>
            <w:noWrap w:val="0"/>
            <w:vAlign w:val="center"/>
          </w:tcPr>
          <w:p w14:paraId="280798DF">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9万元       </w:t>
            </w:r>
          </w:p>
        </w:tc>
      </w:tr>
      <w:tr w14:paraId="315B8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08BAE2C5">
            <w:pPr>
              <w:keepNext w:val="0"/>
              <w:keepLines w:val="0"/>
              <w:suppressLineNumbers w:val="0"/>
              <w:spacing w:before="0" w:beforeAutospacing="0" w:after="0" w:afterAutospacing="0" w:line="320" w:lineRule="exact"/>
              <w:ind w:left="0" w:right="0"/>
              <w:jc w:val="center"/>
              <w:rPr>
                <w:rFonts w:hint="eastAsia"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2</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51D2D6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温州市龙湾区永中街道振中街271号房产五年租赁权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5B8B11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约46.2㎡</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500551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13306元</w:t>
            </w:r>
          </w:p>
        </w:tc>
        <w:tc>
          <w:tcPr>
            <w:tcW w:w="1382" w:type="dxa"/>
            <w:tcBorders>
              <w:top w:val="single" w:color="000000" w:sz="4" w:space="0"/>
              <w:left w:val="nil"/>
              <w:bottom w:val="single" w:color="000000" w:sz="4" w:space="0"/>
              <w:right w:val="single" w:color="auto" w:sz="4" w:space="0"/>
            </w:tcBorders>
            <w:noWrap w:val="0"/>
            <w:vAlign w:val="center"/>
          </w:tcPr>
          <w:p w14:paraId="1C51C2F1">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1万元</w:t>
            </w:r>
          </w:p>
        </w:tc>
      </w:tr>
      <w:tr w14:paraId="7EE09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2BA9E75D">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3</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2F6F5724">
            <w:pPr>
              <w:keepNext w:val="0"/>
              <w:keepLines w:val="0"/>
              <w:widowControl/>
              <w:suppressLineNumbers w:val="0"/>
              <w:spacing w:before="0" w:beforeAutospacing="0" w:after="0" w:afterAutospacing="0"/>
              <w:ind w:left="0" w:right="0"/>
              <w:jc w:val="center"/>
              <w:textAlignment w:val="center"/>
              <w:rPr>
                <w:rFonts w:hint="eastAsia" w:ascii="宋体" w:hAnsi="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温州市龙湾区永中街道振中街291号房产五年租赁权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42899D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约44.1㎡</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432C32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12701元</w:t>
            </w:r>
          </w:p>
        </w:tc>
        <w:tc>
          <w:tcPr>
            <w:tcW w:w="1382" w:type="dxa"/>
            <w:tcBorders>
              <w:top w:val="single" w:color="000000" w:sz="4" w:space="0"/>
              <w:left w:val="nil"/>
              <w:bottom w:val="single" w:color="000000" w:sz="4" w:space="0"/>
              <w:right w:val="single" w:color="auto" w:sz="4" w:space="0"/>
            </w:tcBorders>
            <w:noWrap w:val="0"/>
            <w:vAlign w:val="center"/>
          </w:tcPr>
          <w:p w14:paraId="744626A3">
            <w:pPr>
              <w:keepNext w:val="0"/>
              <w:keepLines w:val="0"/>
              <w:suppressLineNumbers w:val="0"/>
              <w:spacing w:before="0" w:beforeAutospacing="0" w:after="0" w:afterAutospacing="0" w:line="300" w:lineRule="exact"/>
              <w:ind w:left="0" w:right="0"/>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1万元</w:t>
            </w:r>
          </w:p>
        </w:tc>
      </w:tr>
      <w:tr w14:paraId="19833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3ADD73FF">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4</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5C0B749A">
            <w:pPr>
              <w:keepNext w:val="0"/>
              <w:keepLines w:val="0"/>
              <w:widowControl/>
              <w:suppressLineNumbers w:val="0"/>
              <w:spacing w:before="0" w:beforeAutospacing="0" w:after="0" w:afterAutospacing="0"/>
              <w:ind w:left="0" w:right="0"/>
              <w:jc w:val="center"/>
              <w:textAlignment w:val="center"/>
              <w:rPr>
                <w:rFonts w:hint="eastAsia" w:ascii="宋体" w:hAnsi="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温州市龙湾区永中街道振中街293号房产五年租赁权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12316A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约44.1㎡</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2C3928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12701元</w:t>
            </w:r>
          </w:p>
        </w:tc>
        <w:tc>
          <w:tcPr>
            <w:tcW w:w="1382" w:type="dxa"/>
            <w:tcBorders>
              <w:top w:val="single" w:color="000000" w:sz="4" w:space="0"/>
              <w:left w:val="nil"/>
              <w:bottom w:val="single" w:color="000000" w:sz="4" w:space="0"/>
              <w:right w:val="single" w:color="auto" w:sz="4" w:space="0"/>
            </w:tcBorders>
            <w:noWrap w:val="0"/>
            <w:vAlign w:val="center"/>
          </w:tcPr>
          <w:p w14:paraId="6E7D74F7">
            <w:pPr>
              <w:keepNext w:val="0"/>
              <w:keepLines w:val="0"/>
              <w:suppressLineNumbers w:val="0"/>
              <w:spacing w:before="0" w:beforeAutospacing="0" w:after="0" w:afterAutospacing="0" w:line="300" w:lineRule="exact"/>
              <w:ind w:left="0" w:right="0"/>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1万元</w:t>
            </w:r>
          </w:p>
        </w:tc>
      </w:tr>
      <w:tr w14:paraId="623F6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5" w:hRule="atLeast"/>
          <w:jc w:val="center"/>
        </w:trPr>
        <w:tc>
          <w:tcPr>
            <w:tcW w:w="706" w:type="dxa"/>
            <w:tcBorders>
              <w:top w:val="single" w:color="000000" w:sz="4" w:space="0"/>
              <w:left w:val="single" w:color="auto" w:sz="4" w:space="0"/>
              <w:bottom w:val="single" w:color="000000" w:sz="4" w:space="0"/>
              <w:right w:val="single" w:color="000000" w:sz="4" w:space="0"/>
            </w:tcBorders>
            <w:noWrap w:val="0"/>
            <w:vAlign w:val="center"/>
          </w:tcPr>
          <w:p w14:paraId="6B97BCBD">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5</w:t>
            </w:r>
          </w:p>
        </w:tc>
        <w:tc>
          <w:tcPr>
            <w:tcW w:w="4036" w:type="dxa"/>
            <w:tcBorders>
              <w:top w:val="single" w:color="000000" w:sz="4" w:space="0"/>
              <w:left w:val="single" w:color="000000" w:sz="4" w:space="0"/>
              <w:bottom w:val="single" w:color="000000" w:sz="4" w:space="0"/>
              <w:right w:val="single" w:color="000000" w:sz="4" w:space="0"/>
            </w:tcBorders>
            <w:noWrap w:val="0"/>
            <w:vAlign w:val="center"/>
          </w:tcPr>
          <w:p w14:paraId="55646E93">
            <w:pPr>
              <w:keepNext w:val="0"/>
              <w:keepLines w:val="0"/>
              <w:widowControl/>
              <w:suppressLineNumbers w:val="0"/>
              <w:spacing w:before="0" w:beforeAutospacing="0" w:after="0" w:afterAutospacing="0"/>
              <w:ind w:left="0" w:right="0"/>
              <w:jc w:val="center"/>
              <w:textAlignment w:val="center"/>
              <w:rPr>
                <w:rFonts w:hint="eastAsia" w:ascii="宋体" w:hAnsi="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温州市龙湾区永中街道振中街295号房产五年租赁权</w:t>
            </w:r>
          </w:p>
        </w:tc>
        <w:tc>
          <w:tcPr>
            <w:tcW w:w="2132" w:type="dxa"/>
            <w:tcBorders>
              <w:top w:val="single" w:color="000000" w:sz="4" w:space="0"/>
              <w:left w:val="single" w:color="000000" w:sz="4" w:space="0"/>
              <w:bottom w:val="single" w:color="000000" w:sz="4" w:space="0"/>
              <w:right w:val="single" w:color="000000" w:sz="4" w:space="0"/>
            </w:tcBorders>
            <w:noWrap w:val="0"/>
            <w:vAlign w:val="center"/>
          </w:tcPr>
          <w:p w14:paraId="225908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约43.8㎡</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14:paraId="02A402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12614元</w:t>
            </w:r>
          </w:p>
        </w:tc>
        <w:tc>
          <w:tcPr>
            <w:tcW w:w="1382" w:type="dxa"/>
            <w:tcBorders>
              <w:top w:val="single" w:color="000000" w:sz="4" w:space="0"/>
              <w:left w:val="nil"/>
              <w:bottom w:val="single" w:color="000000" w:sz="4" w:space="0"/>
              <w:right w:val="single" w:color="auto" w:sz="4" w:space="0"/>
            </w:tcBorders>
            <w:noWrap w:val="0"/>
            <w:vAlign w:val="center"/>
          </w:tcPr>
          <w:p w14:paraId="43091A08">
            <w:pPr>
              <w:keepNext w:val="0"/>
              <w:keepLines w:val="0"/>
              <w:suppressLineNumbers w:val="0"/>
              <w:spacing w:before="0" w:beforeAutospacing="0" w:after="0" w:afterAutospacing="0" w:line="300" w:lineRule="exact"/>
              <w:ind w:left="0" w:right="0"/>
              <w:jc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1万元</w:t>
            </w:r>
          </w:p>
        </w:tc>
      </w:tr>
      <w:tr w14:paraId="460CD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5" w:hRule="atLeast"/>
          <w:jc w:val="center"/>
        </w:trPr>
        <w:tc>
          <w:tcPr>
            <w:tcW w:w="9771" w:type="dxa"/>
            <w:gridSpan w:val="5"/>
            <w:tcBorders>
              <w:top w:val="single" w:color="000000" w:sz="4" w:space="0"/>
              <w:left w:val="single" w:color="auto" w:sz="4" w:space="0"/>
              <w:bottom w:val="single" w:color="000000" w:sz="4" w:space="0"/>
              <w:right w:val="single" w:color="auto" w:sz="4" w:space="0"/>
            </w:tcBorders>
            <w:noWrap w:val="0"/>
            <w:vAlign w:val="center"/>
          </w:tcPr>
          <w:p w14:paraId="7FA9FF9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注：1.租期5年，租金（不含税）一年一付，先付后用，第1-3年租金为竞价成交价，第4-5年租金在第3年租金的基础上递增1%。</w:t>
            </w:r>
          </w:p>
          <w:p w14:paraId="1FE502D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bCs/>
                <w:kern w:val="2"/>
                <w:sz w:val="24"/>
                <w:szCs w:val="24"/>
                <w:highlight w:val="none"/>
                <w:lang w:val="en-US" w:eastAsia="zh-CN" w:bidi="ar"/>
              </w:rPr>
              <w:t>2.</w:t>
            </w:r>
            <w:r>
              <w:rPr>
                <w:rFonts w:hint="eastAsia" w:ascii="宋体" w:hAnsi="宋体" w:eastAsia="宋体" w:cs="宋体"/>
                <w:bCs/>
                <w:kern w:val="2"/>
                <w:sz w:val="24"/>
                <w:szCs w:val="24"/>
                <w:highlight w:val="none"/>
                <w:lang w:val="en-US" w:eastAsia="zh-CN" w:bidi="ar"/>
              </w:rPr>
              <w:t>新承租人享装修期15日，不计租金及租期（新承租人的身份由村集体认定）。</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236855</wp:posOffset>
            </wp:positionH>
            <wp:positionV relativeFrom="paragraph">
              <wp:posOffset>-3345180</wp:posOffset>
            </wp:positionV>
            <wp:extent cx="5271770" cy="5833110"/>
            <wp:effectExtent l="0" t="0" r="5080" b="15240"/>
            <wp:wrapNone/>
            <wp:docPr id="6" name="图片 110"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0"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B74910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default"/>
          <w:b w:val="0"/>
          <w:bCs/>
          <w:color w:val="auto"/>
          <w:sz w:val="24"/>
          <w:szCs w:val="24"/>
          <w:u w:val="none"/>
          <w:lang w:val="en-US" w:eastAsia="zh-CN"/>
        </w:rPr>
      </w:pPr>
      <w:r>
        <w:rPr>
          <w:rFonts w:hint="eastAsia"/>
          <w:b w:val="0"/>
          <w:bCs/>
          <w:color w:val="auto"/>
          <w:sz w:val="24"/>
          <w:szCs w:val="24"/>
          <w:highlight w:val="none"/>
          <w:lang w:val="en-US" w:eastAsia="zh-CN"/>
        </w:rPr>
        <w:t>3、竞得人应在成交之日起30日内与出租人签订《租赁合同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w:t>
      </w: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236855</wp:posOffset>
            </wp:positionH>
            <wp:positionV relativeFrom="paragraph">
              <wp:posOffset>-5476240</wp:posOffset>
            </wp:positionV>
            <wp:extent cx="5271770" cy="5833110"/>
            <wp:effectExtent l="0" t="0" r="5080" b="15240"/>
            <wp:wrapNone/>
            <wp:docPr id="15" name="图片 110"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sz w:val="24"/>
          <w:szCs w:val="24"/>
        </w:rPr>
        <w:t>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w:t>
      </w:r>
      <w:r>
        <w:rPr>
          <w:rFonts w:hint="eastAsia" w:ascii="宋体" w:hAnsi="宋体"/>
          <w:sz w:val="24"/>
          <w:szCs w:val="24"/>
          <w:u w:val="single"/>
        </w:rPr>
        <w:t>（含</w:t>
      </w:r>
      <w:r>
        <w:rPr>
          <w:rFonts w:hint="eastAsia" w:ascii="宋体" w:hAnsi="宋体"/>
          <w:sz w:val="24"/>
          <w:szCs w:val="24"/>
          <w:u w:val="single"/>
          <w:lang w:eastAsia="zh-CN"/>
        </w:rPr>
        <w:t>出租人</w:t>
      </w:r>
      <w:r>
        <w:rPr>
          <w:rFonts w:hint="eastAsia" w:ascii="宋体" w:hAnsi="宋体"/>
          <w:sz w:val="24"/>
          <w:szCs w:val="24"/>
          <w:u w:val="single"/>
        </w:rPr>
        <w:t>因租赁关系需向税务等有关部门缴纳的一切税费）</w:t>
      </w:r>
      <w:r>
        <w:rPr>
          <w:rFonts w:hint="eastAsia" w:ascii="宋体" w:hAnsi="宋体"/>
          <w:sz w:val="24"/>
          <w:szCs w:val="24"/>
        </w:rPr>
        <w:t>。</w:t>
      </w:r>
    </w:p>
    <w:p w14:paraId="3FB809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-2082165</wp:posOffset>
            </wp:positionV>
            <wp:extent cx="5271770" cy="5833110"/>
            <wp:effectExtent l="0" t="0" r="5080" b="15240"/>
            <wp:wrapNone/>
            <wp:docPr id="14" name="图片 10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b w:val="0"/>
          <w:bCs/>
          <w:color w:val="auto"/>
          <w:szCs w:val="21"/>
          <w:lang w:eastAsia="zh-CN"/>
        </w:rPr>
        <w:t>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5D3BCC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0174629B">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rPr>
          <w:rFonts w:hint="default" w:ascii="宋体" w:hAnsi="宋体"/>
          <w:color w:val="auto"/>
          <w:sz w:val="24"/>
          <w:szCs w:val="24"/>
          <w:highlight w:val="none"/>
          <w:lang w:val="en-US" w:eastAsia="zh-CN"/>
        </w:rPr>
      </w:pPr>
    </w:p>
    <w:p w14:paraId="56062DD8">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2026年10月21日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77696" behindDoc="0" locked="0" layoutInCell="1" allowOverlap="1">
                <wp:simplePos x="0" y="0"/>
                <wp:positionH relativeFrom="column">
                  <wp:posOffset>10795</wp:posOffset>
                </wp:positionH>
                <wp:positionV relativeFrom="paragraph">
                  <wp:posOffset>10160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3"/>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0.85pt;margin-top:0.8pt;height:78.3pt;width:461.4pt;z-index:251677696;mso-width-relative:page;mso-height-relative:page;" fillcolor="#FFFFFF" filled="t" stroked="t" coordsize="21600,21600" o:gfxdata="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4wq+dUAAAAHAQAADwAAAAAAAAABACAAAAAiAAAAZHJzL2Rvd25yZXYueG1sUEsB&#10;AhQAFAAAAAgAh07iQPorjcgxAgAAeAQAAA4AAAAAAAAAAQAgAAAAJAEAAGRycy9lMm9Eb2MueG1s&#10;UEsFBgAAAAAGAAYAWQEAAMcFA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3"/>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202" w:bottom="1440" w:left="1202" w:header="851" w:footer="992" w:gutter="0"/>
          <w:pgNumType w:fmt="decimal" w:start="1"/>
          <w:cols w:space="720" w:num="1"/>
          <w:titlePg/>
          <w:docGrid w:type="lines" w:linePitch="312" w:charSpace="0"/>
        </w:sectPr>
      </w:pP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2026年10月28日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3"/>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租期5年，租金（不含税）一年一付，先付后用，第1-3年租金为竞价成交价，第4-5年租金在第3年租金的基础上递增1%。</w:t>
      </w:r>
    </w:p>
    <w:p w14:paraId="313807F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4</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具体租赁事项以竞得人与温州市龙湾区永中街道镇南村集体经济组织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 xml:space="preserve">年  </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 xml:space="preserve">月 </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 xml:space="preserve"> 日</w:t>
      </w:r>
    </w:p>
    <w:p w14:paraId="782C8574">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color w:val="auto"/>
          <w:sz w:val="44"/>
          <w:szCs w:val="44"/>
          <w:lang w:val="en-US" w:eastAsia="zh-CN"/>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28344F60">
      <w:pPr>
        <w:rPr>
          <w:rFonts w:hint="eastAsia" w:ascii="黑体" w:hAnsi="宋体" w:eastAsia="黑体"/>
          <w:b/>
          <w:sz w:val="48"/>
          <w:szCs w:val="48"/>
        </w:rPr>
      </w:pPr>
      <w:r>
        <w:rPr>
          <w:rFonts w:hint="eastAsia" w:ascii="黑体" w:hAnsi="宋体" w:eastAsia="黑体"/>
          <w:b/>
          <w:sz w:val="48"/>
          <w:szCs w:val="48"/>
        </w:rPr>
        <w:br w:type="page"/>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温州市龙湾区永中街道镇南村集体经济组织         </w:t>
      </w:r>
      <w:r>
        <w:rPr>
          <w:rFonts w:hint="eastAsia" w:ascii="宋体" w:hAnsi="宋体" w:cs="宋体"/>
          <w:color w:val="auto"/>
          <w:sz w:val="24"/>
          <w:szCs w:val="24"/>
          <w:highlight w:val="none"/>
        </w:rPr>
        <w:t>（以下简称甲方）</w:t>
      </w:r>
    </w:p>
    <w:p w14:paraId="49C1B359">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5574EA2">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158E9E41">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235FA82A">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spacing w:line="380" w:lineRule="exact"/>
        <w:ind w:left="388" w:leftChars="185" w:firstLine="240" w:firstLineChars="100"/>
        <w:jc w:val="left"/>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602A91E7">
      <w:pPr>
        <w:pStyle w:val="4"/>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装修期</w:t>
      </w:r>
      <w:r>
        <w:rPr>
          <w:rFonts w:hint="eastAsia" w:ascii="宋体" w:hAnsi="宋体" w:cs="宋体"/>
          <w:color w:val="auto"/>
          <w:szCs w:val="24"/>
          <w:highlight w:val="none"/>
        </w:rPr>
        <w:t>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15 </w:t>
      </w:r>
      <w:r>
        <w:rPr>
          <w:rFonts w:hint="eastAsia" w:ascii="宋体" w:hAnsi="宋体" w:cs="宋体"/>
          <w:color w:val="auto"/>
          <w:szCs w:val="24"/>
          <w:highlight w:val="none"/>
          <w:lang w:val="en-US" w:eastAsia="zh-CN"/>
        </w:rPr>
        <w:t>日</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u w:val="none"/>
          <w:lang w:eastAsia="zh-CN"/>
        </w:rPr>
        <w:t>。</w:t>
      </w:r>
    </w:p>
    <w:p w14:paraId="2530D564">
      <w:pPr>
        <w:pStyle w:val="4"/>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4"/>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）租赁期限届满乙方有意继续租赁的，应当在租赁期限届满前2个月书面通知甲方，如甲方仍要对外出租，在同等条件下，乙方享</w:t>
      </w:r>
      <w:r>
        <w:rPr>
          <w:rFonts w:hint="eastAsia" w:ascii="宋体" w:hAnsi="宋体"/>
          <w:b/>
          <w:bCs/>
          <w:color w:val="auto"/>
          <w:sz w:val="44"/>
          <w:szCs w:val="44"/>
          <w:lang w:val="en-US" w:eastAsia="zh-CN"/>
        </w:rPr>
        <w:drawing>
          <wp:anchor distT="0" distB="0" distL="114300" distR="114300" simplePos="0" relativeHeight="251669504" behindDoc="1" locked="0" layoutInCell="1" allowOverlap="1">
            <wp:simplePos x="0" y="0"/>
            <wp:positionH relativeFrom="column">
              <wp:posOffset>453390</wp:posOffset>
            </wp:positionH>
            <wp:positionV relativeFrom="paragraph">
              <wp:posOffset>-1229360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rPr>
        <w:t>有优先承租权。乙方在租赁期间，如有违约情形之一的，则丧失优先承租权。</w:t>
      </w:r>
    </w:p>
    <w:p w14:paraId="477C956B">
      <w:pPr>
        <w:pStyle w:val="4"/>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4"/>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560A033">
      <w:pPr>
        <w:pStyle w:val="4"/>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59F0AADE">
      <w:pPr>
        <w:pStyle w:val="4"/>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3.第三年年租金￥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6CC9CA34">
      <w:pPr>
        <w:pStyle w:val="4"/>
        <w:spacing w:line="380" w:lineRule="exact"/>
        <w:rPr>
          <w:rFonts w:hint="eastAsia" w:ascii="宋体" w:hAnsi="宋体" w:cs="宋体"/>
          <w:color w:val="auto"/>
          <w:szCs w:val="24"/>
          <w:highlight w:val="none"/>
          <w:u w:val="none"/>
          <w:lang w:val="en-US" w:eastAsia="zh-CN"/>
        </w:rPr>
      </w:pPr>
      <w:r>
        <w:rPr>
          <w:rFonts w:hint="eastAsia" w:ascii="宋体" w:hAnsi="宋体" w:eastAsia="宋体" w:cs="宋体"/>
          <w:color w:val="auto"/>
          <w:szCs w:val="24"/>
          <w:highlight w:val="none"/>
          <w:u w:val="none"/>
          <w:lang w:val="en-US" w:eastAsia="zh-CN"/>
        </w:rPr>
        <w:t>4.</w:t>
      </w:r>
      <w:r>
        <w:rPr>
          <w:rFonts w:hint="eastAsia" w:ascii="宋体" w:hAnsi="宋体" w:cs="宋体"/>
          <w:color w:val="auto"/>
          <w:szCs w:val="24"/>
          <w:highlight w:val="none"/>
          <w:u w:val="none"/>
          <w:lang w:val="en-US" w:eastAsia="zh-CN"/>
        </w:rPr>
        <w:t>第四年年租金￥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3DF2CA88">
      <w:pPr>
        <w:pStyle w:val="4"/>
        <w:spacing w:line="380" w:lineRule="exact"/>
        <w:rPr>
          <w:rFonts w:hint="eastAsia" w:ascii="宋体" w:hAnsi="宋体" w:eastAsia="宋体" w:cs="宋体"/>
          <w:color w:val="auto"/>
          <w:szCs w:val="24"/>
          <w:highlight w:val="none"/>
          <w:u w:val="single"/>
          <w:lang w:val="en-US" w:eastAsia="zh-CN"/>
        </w:rPr>
      </w:pPr>
      <w:r>
        <w:rPr>
          <w:rFonts w:hint="eastAsia" w:ascii="宋体" w:hAnsi="宋体" w:cs="宋体"/>
          <w:color w:val="auto"/>
          <w:szCs w:val="24"/>
          <w:highlight w:val="none"/>
          <w:u w:val="none"/>
          <w:lang w:val="en-US" w:eastAsia="zh-CN"/>
        </w:rPr>
        <w:t>5.第五年年租金￥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110F4452">
      <w:pPr>
        <w:pStyle w:val="4"/>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eastAsia="宋体" w:cs="宋体"/>
          <w:color w:val="auto"/>
          <w:szCs w:val="24"/>
          <w:highlight w:val="none"/>
          <w:u w:val="single"/>
          <w:lang w:val="en-US" w:eastAsia="zh-CN"/>
        </w:rPr>
        <w:t>6.租期5年，租金（不含税）一年一付，先付后用，第1-3年租金为竞价成交价格，第4-5年租金在第3年租金的基础上递增1%</w:t>
      </w:r>
      <w:r>
        <w:rPr>
          <w:rFonts w:hint="eastAsia" w:ascii="宋体" w:hAnsi="宋体" w:cs="宋体"/>
          <w:color w:val="auto"/>
          <w:szCs w:val="24"/>
          <w:highlight w:val="none"/>
          <w:u w:val="single"/>
          <w:lang w:val="en-US" w:eastAsia="zh-CN"/>
        </w:rPr>
        <w:t>。</w:t>
      </w:r>
    </w:p>
    <w:p w14:paraId="494A8111">
      <w:pPr>
        <w:pStyle w:val="4"/>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1FC15555">
      <w:pPr>
        <w:pStyle w:val="4"/>
        <w:spacing w:line="380" w:lineRule="exact"/>
        <w:rPr>
          <w:rFonts w:hint="eastAsia" w:ascii="宋体" w:hAnsi="宋体" w:cs="宋体"/>
          <w:color w:val="auto"/>
          <w:szCs w:val="24"/>
          <w:highlight w:val="none"/>
        </w:rPr>
      </w:pPr>
      <w:r>
        <w:rPr>
          <w:rFonts w:hint="eastAsia" w:ascii="宋体" w:hAnsi="宋体" w:cs="宋体"/>
          <w:color w:val="auto"/>
          <w:szCs w:val="24"/>
          <w:highlight w:val="none"/>
        </w:rPr>
        <w:t>（三）租金不含税，甲方收齐首年租金后向乙方开具租金发票，</w:t>
      </w:r>
      <w:r>
        <w:rPr>
          <w:rFonts w:hint="eastAsia" w:ascii="宋体" w:hAnsi="宋体" w:cs="宋体"/>
          <w:b/>
          <w:bCs/>
          <w:color w:val="auto"/>
          <w:szCs w:val="24"/>
          <w:highlight w:val="none"/>
        </w:rPr>
        <w:t>租赁税</w:t>
      </w:r>
      <w:r>
        <w:rPr>
          <w:rFonts w:hint="eastAsia" w:ascii="宋体" w:hAnsi="宋体" w:cs="宋体"/>
          <w:color w:val="auto"/>
          <w:szCs w:val="24"/>
          <w:highlight w:val="none"/>
        </w:rPr>
        <w:t>等一切租赁期间产生的税、费均由乙方承担并结算(含甲方因租赁关系需向税务等有关部门缴纳的一切税费)。</w:t>
      </w:r>
    </w:p>
    <w:p w14:paraId="12ECF52D">
      <w:pPr>
        <w:pStyle w:val="4"/>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w:t>
      </w:r>
      <w:r>
        <w:rPr>
          <w:rFonts w:hint="eastAsia" w:ascii="宋体" w:hAnsi="宋体"/>
          <w:b/>
          <w:bCs/>
          <w:color w:val="auto"/>
          <w:sz w:val="44"/>
          <w:szCs w:val="44"/>
          <w:lang w:val="en-US" w:eastAsia="zh-CN"/>
        </w:rPr>
        <w:drawing>
          <wp:anchor distT="0" distB="0" distL="114300" distR="114300" simplePos="0" relativeHeight="251670528" behindDoc="1" locked="0" layoutInCell="1" allowOverlap="1">
            <wp:simplePos x="0" y="0"/>
            <wp:positionH relativeFrom="column">
              <wp:posOffset>453390</wp:posOffset>
            </wp:positionH>
            <wp:positionV relativeFrom="paragraph">
              <wp:posOffset>-848360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883" w:firstLineChars="200"/>
        <w:rPr>
          <w:rFonts w:ascii="宋体" w:hAnsi="宋体" w:cs="宋体"/>
          <w:sz w:val="24"/>
          <w:szCs w:val="24"/>
        </w:rPr>
      </w:pPr>
      <w:bookmarkStart w:id="0" w:name="_GoBack"/>
      <w:r>
        <w:rPr>
          <w:rFonts w:hint="eastAsia" w:ascii="宋体" w:hAnsi="宋体"/>
          <w:b/>
          <w:bCs/>
          <w:color w:val="auto"/>
          <w:sz w:val="44"/>
          <w:szCs w:val="44"/>
          <w:lang w:val="en-US" w:eastAsia="zh-CN"/>
        </w:rPr>
        <w:drawing>
          <wp:anchor distT="0" distB="0" distL="114300" distR="114300" simplePos="0" relativeHeight="251668480" behindDoc="1" locked="0" layoutInCell="1" allowOverlap="1">
            <wp:simplePos x="0" y="0"/>
            <wp:positionH relativeFrom="column">
              <wp:posOffset>294640</wp:posOffset>
            </wp:positionH>
            <wp:positionV relativeFrom="paragraph">
              <wp:posOffset>317500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bookmarkEnd w:id="0"/>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4"/>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4"/>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4"/>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w:t>
      </w:r>
      <w:r>
        <w:rPr>
          <w:rFonts w:hint="eastAsia" w:ascii="宋体" w:hAnsi="宋体"/>
          <w:b/>
          <w:bCs/>
          <w:color w:val="auto"/>
          <w:sz w:val="44"/>
          <w:szCs w:val="44"/>
          <w:lang w:val="en-US" w:eastAsia="zh-CN"/>
        </w:rPr>
        <w:drawing>
          <wp:anchor distT="0" distB="0" distL="114300" distR="114300" simplePos="0" relativeHeight="251667456" behindDoc="1" locked="0" layoutInCell="1" allowOverlap="1">
            <wp:simplePos x="0" y="0"/>
            <wp:positionH relativeFrom="column">
              <wp:posOffset>453390</wp:posOffset>
            </wp:positionH>
            <wp:positionV relativeFrom="paragraph">
              <wp:posOffset>-3280410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4"/>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4"/>
        <w:spacing w:line="380" w:lineRule="exact"/>
        <w:ind w:left="240" w:hanging="240" w:hangingChars="100"/>
        <w:rPr>
          <w:rFonts w:ascii="宋体" w:hAnsi="宋体" w:cs="宋体"/>
          <w:szCs w:val="24"/>
        </w:rPr>
      </w:pPr>
    </w:p>
    <w:p w14:paraId="3F5466C7">
      <w:pPr>
        <w:pStyle w:val="4"/>
        <w:spacing w:line="380" w:lineRule="exact"/>
        <w:ind w:left="240" w:hanging="442" w:hangingChars="100"/>
        <w:rPr>
          <w:rFonts w:ascii="宋体" w:hAnsi="宋体" w:cs="宋体"/>
          <w:szCs w:val="24"/>
        </w:rPr>
      </w:pPr>
      <w:r>
        <w:rPr>
          <w:rFonts w:hint="eastAsia" w:ascii="宋体" w:hAnsi="宋体"/>
          <w:b/>
          <w:bCs/>
          <w:color w:val="auto"/>
          <w:sz w:val="44"/>
          <w:szCs w:val="44"/>
          <w:lang w:val="en-US" w:eastAsia="zh-CN"/>
        </w:rPr>
        <w:drawing>
          <wp:anchor distT="0" distB="0" distL="114300" distR="114300" simplePos="0" relativeHeight="251666432" behindDoc="1" locked="0" layoutInCell="1" allowOverlap="1">
            <wp:simplePos x="0" y="0"/>
            <wp:positionH relativeFrom="column">
              <wp:posOffset>474345</wp:posOffset>
            </wp:positionH>
            <wp:positionV relativeFrom="paragraph">
              <wp:posOffset>95250</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320" w:firstLineChars="1800"/>
        <w:rPr>
          <w:rFonts w:hint="eastAsia" w:ascii="宋体" w:hAnsi="宋体" w:cs="宋体"/>
          <w:sz w:val="24"/>
          <w:szCs w:val="24"/>
        </w:rPr>
      </w:pPr>
    </w:p>
    <w:p w14:paraId="6F148077">
      <w:pPr>
        <w:spacing w:line="380" w:lineRule="exact"/>
        <w:ind w:right="480" w:firstLine="4800" w:firstLineChars="2000"/>
        <w:rPr>
          <w:rFonts w:hint="eastAsia"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4320" w:firstLineChars="1800"/>
        <w:rPr>
          <w:rFonts w:hint="eastAsia" w:ascii="宋体" w:hAnsi="宋体" w:cs="宋体"/>
          <w:sz w:val="24"/>
          <w:szCs w:val="24"/>
        </w:rPr>
      </w:pP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3"/>
        <w:rPr>
          <w:rFonts w:hint="eastAsia"/>
        </w:rPr>
      </w:pPr>
    </w:p>
    <w:p w14:paraId="7F634BA7">
      <w:pPr>
        <w:spacing w:line="380" w:lineRule="exact"/>
        <w:ind w:right="480"/>
        <w:rPr>
          <w:rFonts w:hint="eastAsia" w:ascii="宋体" w:hAnsi="宋体" w:cs="宋体"/>
          <w:sz w:val="24"/>
          <w:szCs w:val="24"/>
        </w:rPr>
      </w:pPr>
    </w:p>
    <w:p w14:paraId="35F365BE">
      <w:pPr>
        <w:tabs>
          <w:tab w:val="left" w:pos="0"/>
          <w:tab w:val="center" w:pos="4200"/>
        </w:tabs>
        <w:spacing w:line="520" w:lineRule="exact"/>
        <w:ind w:right="105" w:rightChars="50"/>
        <w:jc w:val="both"/>
        <w:rPr>
          <w:rFonts w:hint="eastAsia" w:ascii="黑体" w:hAnsi="黑体" w:eastAsia="黑体" w:cs="黑体"/>
          <w:sz w:val="36"/>
          <w:szCs w:val="36"/>
        </w:rPr>
      </w:pPr>
    </w:p>
    <w:p w14:paraId="37659C06">
      <w:pPr>
        <w:tabs>
          <w:tab w:val="left" w:pos="0"/>
          <w:tab w:val="center" w:pos="4200"/>
        </w:tabs>
        <w:spacing w:line="520" w:lineRule="exact"/>
        <w:ind w:right="105" w:rightChars="50"/>
        <w:jc w:val="center"/>
        <w:rPr>
          <w:rFonts w:hint="eastAsia" w:ascii="黑体" w:hAnsi="黑体" w:eastAsia="黑体" w:cs="黑体"/>
          <w:sz w:val="36"/>
          <w:szCs w:val="36"/>
        </w:rPr>
      </w:pPr>
    </w:p>
    <w:p w14:paraId="3ECADD1B">
      <w:pPr>
        <w:pStyle w:val="3"/>
        <w:rPr>
          <w:rFonts w:hint="eastAsia"/>
        </w:rPr>
      </w:pPr>
    </w:p>
    <w:p w14:paraId="26351700">
      <w:pPr>
        <w:rPr>
          <w:rFonts w:hint="eastAsia"/>
        </w:rPr>
      </w:pPr>
    </w:p>
    <w:p w14:paraId="2B540742">
      <w:pPr>
        <w:pStyle w:val="3"/>
        <w:rPr>
          <w:rFonts w:hint="eastAsia"/>
        </w:rPr>
      </w:pPr>
    </w:p>
    <w:p w14:paraId="3D806041">
      <w:pPr>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8720"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8720;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6"/>
      <w:framePr w:wrap="around" w:vAnchor="text" w:hAnchor="margin" w:xAlign="center" w:y="1"/>
      <w:rPr>
        <w:rStyle w:val="14"/>
        <w:rFonts w:hint="eastAsia"/>
      </w:rPr>
    </w:pPr>
  </w:p>
  <w:p w14:paraId="61B3317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740265FF">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D2915"/>
    <w:rsid w:val="05832D9D"/>
    <w:rsid w:val="05924D4E"/>
    <w:rsid w:val="05A131E3"/>
    <w:rsid w:val="05C72C4A"/>
    <w:rsid w:val="05E15C61"/>
    <w:rsid w:val="05EE0416"/>
    <w:rsid w:val="061816F7"/>
    <w:rsid w:val="063D6CE4"/>
    <w:rsid w:val="0644429B"/>
    <w:rsid w:val="0648365F"/>
    <w:rsid w:val="065D02DA"/>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D05BE"/>
    <w:rsid w:val="0A3E54A5"/>
    <w:rsid w:val="0A4F1460"/>
    <w:rsid w:val="0A626E7C"/>
    <w:rsid w:val="0A650C83"/>
    <w:rsid w:val="0A670558"/>
    <w:rsid w:val="0A782765"/>
    <w:rsid w:val="0A7964DD"/>
    <w:rsid w:val="0A8C6210"/>
    <w:rsid w:val="0A900037"/>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365128"/>
    <w:rsid w:val="116C28F7"/>
    <w:rsid w:val="11875983"/>
    <w:rsid w:val="11877731"/>
    <w:rsid w:val="118E6D12"/>
    <w:rsid w:val="119058ED"/>
    <w:rsid w:val="119F0F1F"/>
    <w:rsid w:val="11CE7F85"/>
    <w:rsid w:val="11DF30C9"/>
    <w:rsid w:val="12086AC4"/>
    <w:rsid w:val="125308C6"/>
    <w:rsid w:val="125A7AA6"/>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F727F"/>
    <w:rsid w:val="1AC047DA"/>
    <w:rsid w:val="1AC6751C"/>
    <w:rsid w:val="1AE17EB2"/>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35A6"/>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E9754D"/>
    <w:rsid w:val="2E0777D8"/>
    <w:rsid w:val="2E1A575D"/>
    <w:rsid w:val="2E206AEC"/>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CC4CAA"/>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277E35"/>
    <w:rsid w:val="4762645B"/>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8DE651C"/>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B30D5B"/>
    <w:rsid w:val="4AB60164"/>
    <w:rsid w:val="4AC05487"/>
    <w:rsid w:val="4AC5484B"/>
    <w:rsid w:val="4ADB7BCB"/>
    <w:rsid w:val="4ADE1237"/>
    <w:rsid w:val="4ADE5503"/>
    <w:rsid w:val="4AEC627C"/>
    <w:rsid w:val="4AFB2A57"/>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B44CEE"/>
    <w:rsid w:val="60BC68A6"/>
    <w:rsid w:val="611B6B1B"/>
    <w:rsid w:val="612400C6"/>
    <w:rsid w:val="61504A17"/>
    <w:rsid w:val="61564EDF"/>
    <w:rsid w:val="615D7134"/>
    <w:rsid w:val="61920923"/>
    <w:rsid w:val="61B74A96"/>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D7B94"/>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9E0151"/>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qFormat/>
    <w:uiPriority w:val="99"/>
    <w:pPr>
      <w:ind w:firstLine="420" w:firstLineChars="100"/>
    </w:pPr>
    <w:rPr>
      <w:kern w:val="0"/>
      <w:sz w:val="20"/>
      <w:szCs w:val="20"/>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11857</Words>
  <Characters>12284</Characters>
  <Lines>74</Lines>
  <Paragraphs>20</Paragraphs>
  <TotalTime>2</TotalTime>
  <ScaleCrop>false</ScaleCrop>
  <LinksUpToDate>false</LinksUpToDate>
  <CharactersWithSpaces>13850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龙湾农产中心</cp:lastModifiedBy>
  <cp:lastPrinted>2024-03-27T17:30:00Z</cp:lastPrinted>
  <dcterms:modified xsi:type="dcterms:W3CDTF">2026-10-20T06:20:43Z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2475CC301C8B47D38E0924F98921EF24_13</vt:lpwstr>
  </property>
  <property fmtid="{D5CDD505-2E9C-101B-9397-08002B2CF9AE}" pid="4" name="KSOTemplateDocerSaveRecord">
    <vt:lpwstr>eyJoZGlkIjoiNzYzNDZhZmRmZjM0NWUxNmJiOWFiNDI5YTEzYzUxNmEiLCJ1c2VySWQiOiIxNTk0MDAzNDA5In0=</vt:lpwstr>
  </property>
</Properties>
</file>